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4A" w:rsidRDefault="000C67C0" w:rsidP="00C257E9">
      <w:pPr>
        <w:rPr>
          <w:b/>
        </w:rPr>
      </w:pPr>
      <w:r>
        <w:rPr>
          <w:b/>
        </w:rPr>
        <w:t>MSS-DN-ZPP-26-ZO-2/24</w:t>
      </w:r>
      <w:r w:rsidR="0024114A" w:rsidRPr="0024114A">
        <w:rPr>
          <w:b/>
        </w:rPr>
        <w:tab/>
      </w:r>
      <w:r w:rsidR="004D40C9">
        <w:tab/>
      </w:r>
      <w:r w:rsidR="004D40C9">
        <w:tab/>
        <w:t xml:space="preserve">      </w:t>
      </w:r>
      <w:r w:rsidR="0024114A" w:rsidRPr="0024114A">
        <w:rPr>
          <w:b/>
        </w:rPr>
        <w:t xml:space="preserve">Załącznik Nr 2 do </w:t>
      </w:r>
      <w:r w:rsidR="00491B77">
        <w:rPr>
          <w:b/>
        </w:rPr>
        <w:t>Zapytania Ofertowego</w:t>
      </w:r>
      <w:r w:rsidR="004D40C9">
        <w:rPr>
          <w:b/>
        </w:rPr>
        <w:t xml:space="preserve"> i Umowy</w:t>
      </w:r>
    </w:p>
    <w:p w:rsidR="0024114A" w:rsidRPr="0024114A" w:rsidRDefault="0024114A" w:rsidP="0024114A">
      <w:pPr>
        <w:jc w:val="center"/>
        <w:rPr>
          <w:rFonts w:ascii="Tahoma" w:hAnsi="Tahoma" w:cs="Tahoma"/>
          <w:b/>
        </w:rPr>
      </w:pPr>
      <w:r w:rsidRPr="0024114A">
        <w:rPr>
          <w:rFonts w:ascii="Tahoma" w:hAnsi="Tahoma" w:cs="Tahoma"/>
          <w:b/>
        </w:rPr>
        <w:t>ZESTAWIENIE WARUNKÓW  - PARAMETRY TECHNICZNE</w:t>
      </w:r>
    </w:p>
    <w:p w:rsidR="000C67C0" w:rsidRPr="006E2ED9" w:rsidRDefault="000C67C0" w:rsidP="000C67C0">
      <w:pPr>
        <w:pStyle w:val="Nagwek"/>
        <w:rPr>
          <w:rFonts w:ascii="Times New Roman" w:hAnsi="Times New Roman"/>
          <w:b/>
          <w:sz w:val="28"/>
          <w:szCs w:val="28"/>
        </w:rPr>
      </w:pPr>
      <w:r w:rsidRPr="006E2ED9">
        <w:rPr>
          <w:rFonts w:ascii="Times New Roman" w:hAnsi="Times New Roman"/>
          <w:b/>
          <w:sz w:val="28"/>
          <w:szCs w:val="28"/>
        </w:rPr>
        <w:t>Diatermia radiochirurgiczna</w:t>
      </w:r>
      <w:r>
        <w:rPr>
          <w:rFonts w:ascii="Times New Roman" w:hAnsi="Times New Roman"/>
          <w:b/>
          <w:sz w:val="28"/>
          <w:szCs w:val="28"/>
        </w:rPr>
        <w:t xml:space="preserve"> 1 zestaw</w:t>
      </w:r>
    </w:p>
    <w:p w:rsidR="00CE6524" w:rsidRDefault="00CE6524"/>
    <w:tbl>
      <w:tblPr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6"/>
      </w:tblGrid>
      <w:tr w:rsidR="000A18E4" w:rsidTr="000C67C0">
        <w:trPr>
          <w:trHeight w:val="6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E4" w:rsidRPr="009E6F46" w:rsidRDefault="0048696A" w:rsidP="009E6F46">
            <w:pPr>
              <w:spacing w:before="120" w:after="120" w:line="240" w:lineRule="auto"/>
              <w:rPr>
                <w:rFonts w:asciiTheme="minorHAnsi" w:hAnsiTheme="minorHAnsi"/>
              </w:rPr>
            </w:pPr>
            <w:r>
              <w:rPr>
                <w:color w:val="000000"/>
              </w:rPr>
              <w:t>Diatermia radio</w:t>
            </w:r>
            <w:r w:rsidR="000C67C0" w:rsidRPr="004C2024">
              <w:rPr>
                <w:color w:val="000000"/>
              </w:rPr>
              <w:t>chirurgiczna</w:t>
            </w:r>
          </w:p>
        </w:tc>
      </w:tr>
      <w:tr w:rsidR="000A18E4" w:rsidTr="00F33123">
        <w:trPr>
          <w:trHeight w:val="201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8E4" w:rsidRPr="00C726D4" w:rsidRDefault="000A18E4" w:rsidP="0024114A">
            <w:pPr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C726D4">
              <w:rPr>
                <w:rFonts w:ascii="Tahoma" w:eastAsia="Times New Roman" w:hAnsi="Tahoma" w:cs="Tahoma"/>
                <w:b/>
                <w:sz w:val="20"/>
                <w:szCs w:val="20"/>
              </w:rPr>
              <w:t>Producent (marka) …………………….</w:t>
            </w:r>
          </w:p>
          <w:p w:rsidR="000A18E4" w:rsidRPr="00C726D4" w:rsidRDefault="000A18E4" w:rsidP="0024114A">
            <w:pPr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 w:rsidRPr="00C726D4">
              <w:rPr>
                <w:rFonts w:ascii="Tahoma" w:eastAsia="Times New Roman" w:hAnsi="Tahoma" w:cs="Tahoma"/>
                <w:b/>
                <w:sz w:val="20"/>
                <w:szCs w:val="20"/>
              </w:rPr>
              <w:t>Model – …………………………….</w:t>
            </w:r>
          </w:p>
          <w:p w:rsidR="000A18E4" w:rsidRPr="00C726D4" w:rsidRDefault="000A18E4" w:rsidP="0024114A">
            <w:pPr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 w:rsidRPr="00C726D4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Numer katalogowy ………………….</w:t>
            </w:r>
          </w:p>
          <w:p w:rsidR="004D40C9" w:rsidRPr="00F33123" w:rsidRDefault="000A18E4" w:rsidP="00F33123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 w:rsidRPr="00F33123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>Fabrycznie nowe urządzeni</w:t>
            </w:r>
            <w:r w:rsidR="00F33123" w:rsidRPr="00F33123"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  <w:t xml:space="preserve">e </w:t>
            </w:r>
          </w:p>
        </w:tc>
      </w:tr>
    </w:tbl>
    <w:tbl>
      <w:tblPr>
        <w:tblStyle w:val="Tabela-Siatka"/>
        <w:tblW w:w="9606" w:type="dxa"/>
        <w:tblLayout w:type="fixed"/>
        <w:tblLook w:val="04A0"/>
      </w:tblPr>
      <w:tblGrid>
        <w:gridCol w:w="784"/>
        <w:gridCol w:w="5703"/>
        <w:gridCol w:w="1418"/>
        <w:gridCol w:w="1701"/>
      </w:tblGrid>
      <w:tr w:rsidR="00F33123" w:rsidRPr="004C2024" w:rsidTr="0047147D">
        <w:trPr>
          <w:trHeight w:val="425"/>
        </w:trPr>
        <w:tc>
          <w:tcPr>
            <w:tcW w:w="784" w:type="dxa"/>
            <w:shd w:val="clear" w:color="auto" w:fill="BFBFBF" w:themeFill="background1" w:themeFillShade="BF"/>
          </w:tcPr>
          <w:p w:rsidR="00F33123" w:rsidRDefault="00F33123" w:rsidP="009D6F75">
            <w:r>
              <w:t>Lp.</w:t>
            </w:r>
          </w:p>
        </w:tc>
        <w:tc>
          <w:tcPr>
            <w:tcW w:w="5703" w:type="dxa"/>
            <w:shd w:val="clear" w:color="auto" w:fill="BFBFBF" w:themeFill="background1" w:themeFillShade="BF"/>
          </w:tcPr>
          <w:p w:rsidR="00F33123" w:rsidRDefault="0047147D" w:rsidP="009D6F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Wymagania dotyczące urządzenia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33123" w:rsidRDefault="00F33123" w:rsidP="009D6F75">
            <w:r>
              <w:t>Parametr Wymagany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33123" w:rsidRDefault="00F33123" w:rsidP="009D6F75">
            <w:r>
              <w:t>P</w:t>
            </w:r>
            <w:r w:rsidR="0047147D">
              <w:t>a</w:t>
            </w:r>
            <w:r>
              <w:t>rametr oferowany</w:t>
            </w:r>
          </w:p>
        </w:tc>
      </w:tr>
      <w:tr w:rsidR="00F33123" w:rsidRPr="004C2024" w:rsidTr="0047147D">
        <w:trPr>
          <w:trHeight w:val="425"/>
        </w:trPr>
        <w:tc>
          <w:tcPr>
            <w:tcW w:w="784" w:type="dxa"/>
            <w:shd w:val="clear" w:color="auto" w:fill="F2F2F2" w:themeFill="background1" w:themeFillShade="F2"/>
          </w:tcPr>
          <w:p w:rsidR="00F33123" w:rsidRPr="004C2024" w:rsidRDefault="00F33123" w:rsidP="009D6F75">
            <w:r>
              <w:t>1.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F33123" w:rsidRPr="004C2024" w:rsidRDefault="00F33123" w:rsidP="00F33123">
            <w:pPr>
              <w:jc w:val="both"/>
            </w:pPr>
            <w:r>
              <w:rPr>
                <w:rFonts w:ascii="Tahoma" w:hAnsi="Tahoma" w:cs="Tahoma"/>
              </w:rPr>
              <w:t xml:space="preserve">Urządzenie fabrycznie nowe rok produkcji nie starszy niż </w:t>
            </w:r>
            <w:r w:rsidRPr="00E54EEE">
              <w:rPr>
                <w:rFonts w:ascii="Tahoma" w:hAnsi="Tahoma" w:cs="Tahoma"/>
                <w:color w:val="000000" w:themeColor="text1"/>
              </w:rPr>
              <w:t>2024 r.</w:t>
            </w:r>
            <w:r>
              <w:rPr>
                <w:rFonts w:ascii="Tahoma" w:hAnsi="Tahoma" w:cs="Tahoma"/>
              </w:rPr>
              <w:t xml:space="preserve"> (nie używany, nie rekondycjonowany, nie powystawowy, wszystkie elementy składowe i podzespoły fabrycznie nowe, najnowsza wersja oprogramowania)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3123" w:rsidRDefault="00F33123" w:rsidP="009D6F75">
            <w:r>
              <w:t>TAK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33123" w:rsidRDefault="00F33123" w:rsidP="009D6F75"/>
        </w:tc>
      </w:tr>
      <w:tr w:rsidR="00F33123" w:rsidRPr="004C2024" w:rsidTr="0047147D">
        <w:trPr>
          <w:trHeight w:val="425"/>
        </w:trPr>
        <w:tc>
          <w:tcPr>
            <w:tcW w:w="784" w:type="dxa"/>
            <w:shd w:val="clear" w:color="auto" w:fill="F2F2F2" w:themeFill="background1" w:themeFillShade="F2"/>
          </w:tcPr>
          <w:p w:rsidR="00F33123" w:rsidRPr="004C2024" w:rsidRDefault="00F33123" w:rsidP="009D6F75">
            <w:r>
              <w:t>2.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F33123" w:rsidRPr="004C2024" w:rsidRDefault="0047147D" w:rsidP="00F33123">
            <w:pPr>
              <w:jc w:val="both"/>
            </w:pPr>
            <w:r>
              <w:rPr>
                <w:rFonts w:ascii="Tahoma" w:hAnsi="Tahoma" w:cs="Tahoma"/>
              </w:rPr>
              <w:t>Dostarczona</w:t>
            </w:r>
            <w:r w:rsidR="00F33123">
              <w:rPr>
                <w:rFonts w:ascii="Tahoma" w:hAnsi="Tahoma" w:cs="Tahoma"/>
              </w:rPr>
              <w:t xml:space="preserve"> aparatura ma być bezwzględnie wyposażona we wszystkie niezbędne do prawidłowej pracy akcesoria, instrukcję obsługi w zakresie konserwacji i eksploatacji przedmiotu zamówienia (w języku polskim ) w wersji papierowej i elektronicznej oraz pełną dokumentację  serwisową z harmonogramem  przeglądów technicznych (w języku polskim)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3123" w:rsidRDefault="00F33123" w:rsidP="009D6F75">
            <w:r>
              <w:t>TAK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33123" w:rsidRDefault="00F33123" w:rsidP="009D6F75"/>
        </w:tc>
      </w:tr>
      <w:tr w:rsidR="00F33123" w:rsidRPr="004C2024" w:rsidTr="0047147D">
        <w:trPr>
          <w:trHeight w:val="425"/>
        </w:trPr>
        <w:tc>
          <w:tcPr>
            <w:tcW w:w="784" w:type="dxa"/>
            <w:shd w:val="clear" w:color="auto" w:fill="F2F2F2" w:themeFill="background1" w:themeFillShade="F2"/>
          </w:tcPr>
          <w:p w:rsidR="00F33123" w:rsidRPr="004C2024" w:rsidRDefault="00F33123" w:rsidP="009D6F75">
            <w:r>
              <w:t>3.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F33123" w:rsidRPr="004C2024" w:rsidRDefault="00F33123" w:rsidP="00F33123">
            <w:pPr>
              <w:jc w:val="both"/>
            </w:pPr>
            <w:r>
              <w:rPr>
                <w:rFonts w:ascii="Tahoma" w:hAnsi="Tahoma" w:cs="Tahoma"/>
              </w:rPr>
              <w:t xml:space="preserve">Gwarancja </w:t>
            </w:r>
            <w:r>
              <w:rPr>
                <w:rFonts w:ascii="Tahoma" w:hAnsi="Tahoma" w:cs="Tahoma"/>
                <w:color w:val="000000" w:themeColor="text1"/>
              </w:rPr>
              <w:t>zawierająca nieodpłatne naprawy w okresie gwarancji oraz przeglądy techniczne z częstotliwością zalecaną przez producenta, potwierdzone certyfikatem.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33123" w:rsidRDefault="00F33123" w:rsidP="009D6F75">
            <w:r>
              <w:t>TAK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33123" w:rsidRDefault="00F33123" w:rsidP="009D6F75"/>
        </w:tc>
      </w:tr>
      <w:tr w:rsidR="00F33123" w:rsidRPr="004C2024" w:rsidTr="0047147D">
        <w:trPr>
          <w:trHeight w:val="425"/>
        </w:trPr>
        <w:tc>
          <w:tcPr>
            <w:tcW w:w="784" w:type="dxa"/>
            <w:shd w:val="clear" w:color="auto" w:fill="F2F2F2" w:themeFill="background1" w:themeFillShade="F2"/>
          </w:tcPr>
          <w:p w:rsidR="00F33123" w:rsidRPr="004C2024" w:rsidRDefault="00F33123" w:rsidP="009D6F75">
            <w:r>
              <w:t>4.</w:t>
            </w:r>
          </w:p>
        </w:tc>
        <w:tc>
          <w:tcPr>
            <w:tcW w:w="5703" w:type="dxa"/>
            <w:shd w:val="clear" w:color="auto" w:fill="F2F2F2" w:themeFill="background1" w:themeFillShade="F2"/>
          </w:tcPr>
          <w:p w:rsidR="00F33123" w:rsidRDefault="00F33123" w:rsidP="00F33123">
            <w:pPr>
              <w:spacing w:before="40" w:after="40"/>
              <w:ind w:right="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Szkolenie personelu wskazanego przez Zamawiającego w zakresie eksploatacji i obsługi zaoferowanego aparatu. Potwierdzone stosownymi certyfikatami.</w:t>
            </w:r>
          </w:p>
          <w:p w:rsidR="00F33123" w:rsidRPr="004C2024" w:rsidRDefault="00F33123" w:rsidP="009D6F75"/>
        </w:tc>
        <w:tc>
          <w:tcPr>
            <w:tcW w:w="1418" w:type="dxa"/>
            <w:shd w:val="clear" w:color="auto" w:fill="F2F2F2" w:themeFill="background1" w:themeFillShade="F2"/>
          </w:tcPr>
          <w:p w:rsidR="00F33123" w:rsidRDefault="0047147D" w:rsidP="009D6F75">
            <w:r>
              <w:t>TAK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33123" w:rsidRDefault="00F33123" w:rsidP="009D6F75"/>
        </w:tc>
      </w:tr>
      <w:tr w:rsidR="000C67C0" w:rsidRPr="004C2024" w:rsidTr="0047147D">
        <w:trPr>
          <w:trHeight w:val="425"/>
        </w:trPr>
        <w:tc>
          <w:tcPr>
            <w:tcW w:w="784" w:type="dxa"/>
            <w:shd w:val="clear" w:color="auto" w:fill="BFBFBF" w:themeFill="background1" w:themeFillShade="BF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</w:rPr>
              <w:t>LP.</w:t>
            </w:r>
          </w:p>
        </w:tc>
        <w:tc>
          <w:tcPr>
            <w:tcW w:w="5703" w:type="dxa"/>
            <w:shd w:val="clear" w:color="auto" w:fill="BFBFBF" w:themeFill="background1" w:themeFillShade="BF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</w:rPr>
              <w:t>Opis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Parametr wymagany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Parametr oferowany</w:t>
            </w:r>
          </w:p>
        </w:tc>
      </w:tr>
      <w:tr w:rsidR="000C67C0" w:rsidRPr="004C2024" w:rsidTr="000C67C0">
        <w:tc>
          <w:tcPr>
            <w:tcW w:w="9606" w:type="dxa"/>
            <w:gridSpan w:val="4"/>
            <w:shd w:val="clear" w:color="auto" w:fill="F2F2F2" w:themeFill="background1" w:themeFillShade="F2"/>
          </w:tcPr>
          <w:p w:rsidR="000C67C0" w:rsidRPr="004C2024" w:rsidRDefault="000C67C0" w:rsidP="009D6F75">
            <w:pPr>
              <w:rPr>
                <w:rFonts w:cs="Times New Roman"/>
                <w:b/>
              </w:rPr>
            </w:pPr>
            <w:r w:rsidRPr="004C2024">
              <w:rPr>
                <w:rFonts w:cs="Times New Roman"/>
                <w:b/>
              </w:rPr>
              <w:t>Jednostka sterująca</w:t>
            </w: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8612E5">
              <w:rPr>
                <w:rFonts w:cs="Times New Roman"/>
                <w:color w:val="000000"/>
              </w:rPr>
              <w:t xml:space="preserve">Diatermia elektrochirurgiczna o częstotliwości znamionowej pracy prądu </w:t>
            </w:r>
            <w:r w:rsidRPr="006E47A1">
              <w:rPr>
                <w:rFonts w:cs="Times New Roman"/>
                <w:b/>
                <w:color w:val="000000"/>
              </w:rPr>
              <w:t>RF - 4MHz</w:t>
            </w:r>
            <w:r w:rsidRPr="008612E5">
              <w:rPr>
                <w:rFonts w:cs="Times New Roman"/>
                <w:color w:val="000000"/>
              </w:rPr>
              <w:t xml:space="preserve"> w trybie mono- i bipolarnym z prądem modulacji 33Hz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0C67C0" w:rsidRPr="004C2024" w:rsidRDefault="000C67C0" w:rsidP="009D6F75">
            <w:pPr>
              <w:rPr>
                <w:rFonts w:cs="Times New Roman"/>
                <w:color w:val="000000"/>
              </w:rPr>
            </w:pPr>
            <w:r w:rsidRPr="004C2024">
              <w:rPr>
                <w:rFonts w:cs="Times New Roman"/>
                <w:color w:val="000000"/>
              </w:rPr>
              <w:t>Zakres mocy urządzenia min</w:t>
            </w:r>
            <w:r w:rsidRPr="006E47A1">
              <w:rPr>
                <w:rFonts w:cs="Times New Roman"/>
                <w:b/>
                <w:color w:val="000000"/>
              </w:rPr>
              <w:t>. 130W</w:t>
            </w:r>
            <w:r w:rsidRPr="004C2024">
              <w:rPr>
                <w:rFonts w:cs="Times New Roman"/>
                <w:color w:val="000000"/>
              </w:rPr>
              <w:t xml:space="preserve"> w trybie monopolarnym i bipolarnym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0C67C0" w:rsidRPr="004C2024" w:rsidRDefault="000C67C0" w:rsidP="009D6F75">
            <w:pPr>
              <w:rPr>
                <w:rFonts w:cs="Times New Roman"/>
                <w:color w:val="000000"/>
              </w:rPr>
            </w:pPr>
            <w:r w:rsidRPr="004C2024">
              <w:rPr>
                <w:rFonts w:cs="Times New Roman"/>
                <w:color w:val="000000"/>
              </w:rPr>
              <w:t>Urządzenie posiadające tryb Autotest po każdym włączeniu urządzenia w celu przeprowadzenia kontroli sprawności systemu, a także zabezpieczone przed wyładowaniem elektrycznym podczas defibrylacji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  <w:color w:val="000000"/>
              </w:rPr>
            </w:pPr>
            <w:r w:rsidRPr="004C2024">
              <w:rPr>
                <w:rFonts w:cs="Times New Roman"/>
                <w:color w:val="000000"/>
              </w:rPr>
              <w:t xml:space="preserve">Panel przedni zawierający: wyświetlacz wskazujący zadaną </w:t>
            </w:r>
            <w:r w:rsidRPr="004C2024">
              <w:rPr>
                <w:rFonts w:cs="Times New Roman"/>
                <w:color w:val="000000"/>
              </w:rPr>
              <w:lastRenderedPageBreak/>
              <w:t>moc dla danego trybu; diody sygnalizujące aktualnie wybrany tryb; wyświetlacz wskazujący czas cięcia/koagulacji;  przycisk do regulacji mocy cięcia/koagulacji; sygnalizator diodowy informujący o przegrzaniu generatora; sygnalizator diodowy informujący o awarii modułu generacji mocy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  <w:color w:val="000000"/>
              </w:rPr>
              <w:t>Min. 2 tryby cięcia monopolarnego : cięcie czyste oraz mieszane z koagulacją brzegów tkanki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  <w:color w:val="000000"/>
              </w:rPr>
              <w:t>Min. 2 tryby koagulacji monopolarnej kontaktowej : koagulacja zwykła oraz forsowna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  <w:color w:val="000000"/>
              </w:rPr>
              <w:t>Min. 1 tryb cięcia w trybie bipolarnym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  <w:color w:val="000000"/>
              </w:rPr>
              <w:t>Min. 1 tryb koagulacji bipolarnej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  <w:color w:val="000000"/>
              </w:rPr>
              <w:t xml:space="preserve">Urządzenie z systemem zabezpieczającym typu AutoStop, wyłączające podawanie prądu  po zadanym czasie koagulowania tkanki lub automatycznie odcinające moc wyjściową po 25 sekundach +/-5 sekund pracy w przypadku nie korzystania z funkcji </w:t>
            </w:r>
            <w:r w:rsidR="008612E5">
              <w:rPr>
                <w:rFonts w:cs="Times New Roman"/>
                <w:color w:val="000000"/>
              </w:rPr>
              <w:t xml:space="preserve"> </w:t>
            </w:r>
            <w:r w:rsidRPr="004C2024">
              <w:rPr>
                <w:rFonts w:cs="Times New Roman"/>
                <w:color w:val="000000"/>
              </w:rPr>
              <w:t>timera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  <w:shd w:val="clear" w:color="auto" w:fill="FFFFFF" w:themeFill="background1"/>
          </w:tcPr>
          <w:p w:rsidR="000C67C0" w:rsidRPr="004C2024" w:rsidRDefault="000C67C0" w:rsidP="009D6F75">
            <w:pPr>
              <w:rPr>
                <w:rFonts w:cs="Times New Roman"/>
                <w:color w:val="000000"/>
              </w:rPr>
            </w:pPr>
            <w:r w:rsidRPr="008612E5">
              <w:rPr>
                <w:rFonts w:cs="Times New Roman"/>
                <w:color w:val="000000"/>
              </w:rPr>
              <w:t>U</w:t>
            </w:r>
            <w:r w:rsidRPr="008612E5">
              <w:rPr>
                <w:rFonts w:cs="Times New Roman"/>
                <w:color w:val="000000"/>
                <w:shd w:val="clear" w:color="auto" w:fill="FFFFFF" w:themeFill="background1"/>
              </w:rPr>
              <w:t>rządzenie wyposażone w funkcję emitowania sygnałów dźwiękowych co 10 i/lub 15 sekund oraz od 20 do 25 sekund działania urządzenia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</w:rPr>
              <w:t>bezpieczeństwo pracy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 w:rsidRPr="004C2024">
              <w:rPr>
                <w:rFonts w:cs="Times New Roman"/>
                <w:color w:val="000000"/>
              </w:rPr>
              <w:t>Możliwość regulacji czasu cięcia i koagulacji w minimalnym zakresie od 0.2 do 60 s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  <w:color w:val="000000"/>
              </w:rPr>
            </w:pPr>
            <w:r w:rsidRPr="004C2024">
              <w:rPr>
                <w:rFonts w:cs="Times New Roman"/>
                <w:color w:val="000000"/>
              </w:rPr>
              <w:t>Urządzenie posiadające funkcję dynamicznego pomiaru impedancji tkanki i regulujące moc podawaną zależnie od wzrostu impedancji tkanki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8612E5" w:rsidRDefault="000C67C0" w:rsidP="009D6F75">
            <w:pPr>
              <w:rPr>
                <w:rFonts w:cs="Times New Roman"/>
                <w:b/>
                <w:color w:val="000000"/>
              </w:rPr>
            </w:pPr>
            <w:r w:rsidRPr="008612E5">
              <w:rPr>
                <w:rFonts w:cs="Times New Roman"/>
                <w:b/>
                <w:color w:val="000000"/>
              </w:rPr>
              <w:t>Funkcja ciągłego pomiaru prądu zwrotnego w trybie pracy monopolarnej, odcinająca pracę urządzenia i alarmująca dźwiękowo w przypadku nieprawidłowego podłączenia elektrody uziemiającej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8612E5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8612E5" w:rsidRDefault="000C67C0" w:rsidP="009D6F75">
            <w:pPr>
              <w:rPr>
                <w:rFonts w:cs="Times New Roman"/>
                <w:b/>
                <w:color w:val="000000"/>
              </w:rPr>
            </w:pPr>
            <w:r w:rsidRPr="008612E5">
              <w:rPr>
                <w:rFonts w:cs="Times New Roman"/>
                <w:b/>
                <w:color w:val="000000"/>
              </w:rPr>
              <w:t>Urządzenie kompatybilne z posiadanym przez Zamawiającego wyposażeniem firmy Micromed GmbH Niemcy</w:t>
            </w:r>
          </w:p>
        </w:tc>
        <w:tc>
          <w:tcPr>
            <w:tcW w:w="1418" w:type="dxa"/>
          </w:tcPr>
          <w:p w:rsidR="000C67C0" w:rsidRDefault="008612E5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0C67C0">
        <w:tc>
          <w:tcPr>
            <w:tcW w:w="9606" w:type="dxa"/>
            <w:gridSpan w:val="4"/>
            <w:shd w:val="clear" w:color="auto" w:fill="F2F2F2" w:themeFill="background1" w:themeFillShade="F2"/>
          </w:tcPr>
          <w:p w:rsidR="000C67C0" w:rsidRPr="004C2024" w:rsidRDefault="000C67C0" w:rsidP="009D6F75">
            <w:pPr>
              <w:rPr>
                <w:rFonts w:cs="Times New Roman"/>
                <w:b/>
              </w:rPr>
            </w:pPr>
            <w:r w:rsidRPr="004C2024">
              <w:rPr>
                <w:rFonts w:cs="Times New Roman"/>
                <w:b/>
              </w:rPr>
              <w:t>Wyposażenie dodatkowe</w:t>
            </w:r>
          </w:p>
        </w:tc>
      </w:tr>
      <w:tr w:rsidR="000C67C0" w:rsidRPr="004C2024" w:rsidTr="004D40C9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  <w:color w:val="000000"/>
              </w:rPr>
            </w:pPr>
            <w:r w:rsidRPr="004C2024">
              <w:rPr>
                <w:rFonts w:cs="Times New Roman"/>
                <w:color w:val="000000"/>
              </w:rPr>
              <w:t>Włącznik nożny dwuprzyciskowy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4D40C9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0C67C0" w:rsidP="009D6F7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</w:t>
            </w:r>
            <w:r w:rsidRPr="004C2024">
              <w:rPr>
                <w:rFonts w:cs="Times New Roman"/>
                <w:color w:val="000000"/>
              </w:rPr>
              <w:t>rzew</w:t>
            </w:r>
            <w:r>
              <w:rPr>
                <w:rFonts w:cs="Times New Roman"/>
                <w:color w:val="000000"/>
              </w:rPr>
              <w:t>ód</w:t>
            </w:r>
            <w:r w:rsidRPr="004C2024">
              <w:rPr>
                <w:rFonts w:cs="Times New Roman"/>
                <w:color w:val="000000"/>
              </w:rPr>
              <w:t xml:space="preserve"> zaciskowy</w:t>
            </w:r>
            <w:r>
              <w:rPr>
                <w:rFonts w:cs="Times New Roman"/>
                <w:color w:val="000000"/>
              </w:rPr>
              <w:t xml:space="preserve"> elektrody neutralnej</w:t>
            </w:r>
            <w:r w:rsidRPr="004C202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0C67C0" w:rsidRPr="004C2024" w:rsidTr="004D40C9">
        <w:tc>
          <w:tcPr>
            <w:tcW w:w="784" w:type="dxa"/>
          </w:tcPr>
          <w:p w:rsidR="000C67C0" w:rsidRPr="004C2024" w:rsidRDefault="000C67C0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  <w:rPr>
                <w:rFonts w:cs="Times New Roman"/>
              </w:rPr>
            </w:pPr>
          </w:p>
        </w:tc>
        <w:tc>
          <w:tcPr>
            <w:tcW w:w="5703" w:type="dxa"/>
          </w:tcPr>
          <w:p w:rsidR="000C67C0" w:rsidRPr="004C2024" w:rsidRDefault="008612E5" w:rsidP="009D6F75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Przewód do elektrod biopolarnych</w:t>
            </w:r>
          </w:p>
        </w:tc>
        <w:tc>
          <w:tcPr>
            <w:tcW w:w="1418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1701" w:type="dxa"/>
          </w:tcPr>
          <w:p w:rsidR="000C67C0" w:rsidRPr="004C2024" w:rsidRDefault="000C67C0" w:rsidP="009D6F75">
            <w:pPr>
              <w:rPr>
                <w:rFonts w:cs="Times New Roman"/>
              </w:rPr>
            </w:pPr>
          </w:p>
        </w:tc>
      </w:tr>
      <w:tr w:rsidR="008612E5" w:rsidRPr="004C2024" w:rsidTr="004D40C9">
        <w:tc>
          <w:tcPr>
            <w:tcW w:w="784" w:type="dxa"/>
          </w:tcPr>
          <w:p w:rsidR="008612E5" w:rsidRPr="004C2024" w:rsidRDefault="008612E5" w:rsidP="000C67C0">
            <w:pPr>
              <w:pStyle w:val="Akapitzlist"/>
              <w:numPr>
                <w:ilvl w:val="0"/>
                <w:numId w:val="2"/>
              </w:numPr>
              <w:suppressAutoHyphens w:val="0"/>
              <w:contextualSpacing/>
            </w:pPr>
          </w:p>
        </w:tc>
        <w:tc>
          <w:tcPr>
            <w:tcW w:w="5703" w:type="dxa"/>
          </w:tcPr>
          <w:p w:rsidR="008612E5" w:rsidRDefault="008612E5" w:rsidP="009D6F75">
            <w:pPr>
              <w:rPr>
                <w:color w:val="000000"/>
              </w:rPr>
            </w:pPr>
            <w:r>
              <w:rPr>
                <w:color w:val="000000"/>
              </w:rPr>
              <w:t>Uchwyt do elektrod monopolarnych z kablem</w:t>
            </w:r>
          </w:p>
        </w:tc>
        <w:tc>
          <w:tcPr>
            <w:tcW w:w="1418" w:type="dxa"/>
          </w:tcPr>
          <w:p w:rsidR="008612E5" w:rsidRDefault="008612E5" w:rsidP="009D6F75">
            <w:r>
              <w:t>TAK</w:t>
            </w:r>
          </w:p>
        </w:tc>
        <w:tc>
          <w:tcPr>
            <w:tcW w:w="1701" w:type="dxa"/>
          </w:tcPr>
          <w:p w:rsidR="008612E5" w:rsidRPr="004C2024" w:rsidRDefault="008612E5" w:rsidP="009D6F75"/>
        </w:tc>
      </w:tr>
    </w:tbl>
    <w:p w:rsidR="000C67C0" w:rsidRPr="004C2024" w:rsidRDefault="000C67C0" w:rsidP="000C67C0"/>
    <w:p w:rsidR="00CE6524" w:rsidRDefault="00CE6524"/>
    <w:sectPr w:rsidR="00CE6524" w:rsidSect="004D40C9">
      <w:foot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CEC" w:rsidRDefault="00EB1CEC">
      <w:pPr>
        <w:spacing w:after="0" w:line="240" w:lineRule="auto"/>
      </w:pPr>
      <w:r>
        <w:separator/>
      </w:r>
    </w:p>
  </w:endnote>
  <w:endnote w:type="continuationSeparator" w:id="1">
    <w:p w:rsidR="00EB1CEC" w:rsidRDefault="00EB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F2" w:rsidRDefault="009C0DF2">
    <w:pPr>
      <w:pStyle w:val="Stopka"/>
    </w:pPr>
    <w:r w:rsidRPr="009C0DF2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1624330</wp:posOffset>
          </wp:positionH>
          <wp:positionV relativeFrom="paragraph">
            <wp:posOffset>80645</wp:posOffset>
          </wp:positionV>
          <wp:extent cx="2066925" cy="552450"/>
          <wp:effectExtent l="19050" t="0" r="9525" b="0"/>
          <wp:wrapThrough wrapText="bothSides">
            <wp:wrapPolygon edited="0">
              <wp:start x="-199" y="0"/>
              <wp:lineTo x="-199" y="20855"/>
              <wp:lineTo x="21700" y="20855"/>
              <wp:lineTo x="21700" y="0"/>
              <wp:lineTo x="-199" y="0"/>
            </wp:wrapPolygon>
          </wp:wrapThrough>
          <wp:docPr id="1" name="Obraz 5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0DF2" w:rsidRDefault="009C0D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CEC" w:rsidRDefault="00EB1C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B1CEC" w:rsidRDefault="00EB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3F1"/>
    <w:multiLevelType w:val="multilevel"/>
    <w:tmpl w:val="A384A264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228F779B"/>
    <w:multiLevelType w:val="hybridMultilevel"/>
    <w:tmpl w:val="AF88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75C77"/>
    <w:multiLevelType w:val="multilevel"/>
    <w:tmpl w:val="27BCCC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524"/>
    <w:rsid w:val="0004700F"/>
    <w:rsid w:val="00050C55"/>
    <w:rsid w:val="00057506"/>
    <w:rsid w:val="00066B92"/>
    <w:rsid w:val="000831E6"/>
    <w:rsid w:val="000A18E4"/>
    <w:rsid w:val="000C67C0"/>
    <w:rsid w:val="0016611A"/>
    <w:rsid w:val="001755EB"/>
    <w:rsid w:val="00183925"/>
    <w:rsid w:val="001D4D9E"/>
    <w:rsid w:val="001D6D77"/>
    <w:rsid w:val="00206F5A"/>
    <w:rsid w:val="0024114A"/>
    <w:rsid w:val="00262071"/>
    <w:rsid w:val="0028122B"/>
    <w:rsid w:val="00283FB4"/>
    <w:rsid w:val="00386285"/>
    <w:rsid w:val="003C135B"/>
    <w:rsid w:val="003E22A7"/>
    <w:rsid w:val="003F0D72"/>
    <w:rsid w:val="004024DB"/>
    <w:rsid w:val="00420875"/>
    <w:rsid w:val="004573AB"/>
    <w:rsid w:val="0047147D"/>
    <w:rsid w:val="0048696A"/>
    <w:rsid w:val="00491B77"/>
    <w:rsid w:val="004970E0"/>
    <w:rsid w:val="004B2354"/>
    <w:rsid w:val="004D40C9"/>
    <w:rsid w:val="004F57DC"/>
    <w:rsid w:val="0051731F"/>
    <w:rsid w:val="00562CB0"/>
    <w:rsid w:val="005734A5"/>
    <w:rsid w:val="005E3DDF"/>
    <w:rsid w:val="005F09B3"/>
    <w:rsid w:val="005F4763"/>
    <w:rsid w:val="00602388"/>
    <w:rsid w:val="00602692"/>
    <w:rsid w:val="00624E9A"/>
    <w:rsid w:val="0063660F"/>
    <w:rsid w:val="00693416"/>
    <w:rsid w:val="00693704"/>
    <w:rsid w:val="006C0D6C"/>
    <w:rsid w:val="006D26CA"/>
    <w:rsid w:val="006E264B"/>
    <w:rsid w:val="006E47A1"/>
    <w:rsid w:val="00714278"/>
    <w:rsid w:val="007A76F8"/>
    <w:rsid w:val="007E0366"/>
    <w:rsid w:val="007E37C5"/>
    <w:rsid w:val="007E402F"/>
    <w:rsid w:val="008023A5"/>
    <w:rsid w:val="008612E5"/>
    <w:rsid w:val="008C22D0"/>
    <w:rsid w:val="008C38A2"/>
    <w:rsid w:val="008C642E"/>
    <w:rsid w:val="00937EA1"/>
    <w:rsid w:val="0095527F"/>
    <w:rsid w:val="00994FC8"/>
    <w:rsid w:val="009C0DF2"/>
    <w:rsid w:val="009E6F46"/>
    <w:rsid w:val="00A400A4"/>
    <w:rsid w:val="00AC6EAF"/>
    <w:rsid w:val="00AE0BCA"/>
    <w:rsid w:val="00B1529E"/>
    <w:rsid w:val="00B25A9A"/>
    <w:rsid w:val="00B35016"/>
    <w:rsid w:val="00B61221"/>
    <w:rsid w:val="00BB096F"/>
    <w:rsid w:val="00BC636B"/>
    <w:rsid w:val="00C1221F"/>
    <w:rsid w:val="00C2019A"/>
    <w:rsid w:val="00C257E9"/>
    <w:rsid w:val="00C3736F"/>
    <w:rsid w:val="00C62048"/>
    <w:rsid w:val="00C71C24"/>
    <w:rsid w:val="00CC77D9"/>
    <w:rsid w:val="00CE6524"/>
    <w:rsid w:val="00D1530A"/>
    <w:rsid w:val="00DB039D"/>
    <w:rsid w:val="00DB6694"/>
    <w:rsid w:val="00DE341C"/>
    <w:rsid w:val="00E3462A"/>
    <w:rsid w:val="00E54EEE"/>
    <w:rsid w:val="00E8224E"/>
    <w:rsid w:val="00EA24DC"/>
    <w:rsid w:val="00EA5376"/>
    <w:rsid w:val="00EB1CEC"/>
    <w:rsid w:val="00F32832"/>
    <w:rsid w:val="00F33123"/>
    <w:rsid w:val="00F976E0"/>
    <w:rsid w:val="00FA287C"/>
    <w:rsid w:val="00FB1607"/>
    <w:rsid w:val="00FC637A"/>
    <w:rsid w:val="00FE2F0D"/>
    <w:rsid w:val="00FE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283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2832"/>
    <w:pPr>
      <w:ind w:left="720"/>
    </w:pPr>
  </w:style>
  <w:style w:type="paragraph" w:styleId="Tekstprzypisukocowego">
    <w:name w:val="endnote text"/>
    <w:basedOn w:val="Normalny"/>
    <w:rsid w:val="00F328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F32832"/>
    <w:rPr>
      <w:sz w:val="20"/>
      <w:szCs w:val="20"/>
    </w:rPr>
  </w:style>
  <w:style w:type="character" w:styleId="Odwoanieprzypisukocowego">
    <w:name w:val="endnote reference"/>
    <w:basedOn w:val="Domylnaczcionkaakapitu"/>
    <w:rsid w:val="00F32832"/>
    <w:rPr>
      <w:position w:val="0"/>
      <w:vertAlign w:val="superscript"/>
    </w:rPr>
  </w:style>
  <w:style w:type="paragraph" w:styleId="Nagwek">
    <w:name w:val="header"/>
    <w:basedOn w:val="Normalny"/>
    <w:uiPriority w:val="99"/>
    <w:rsid w:val="00F3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F32832"/>
  </w:style>
  <w:style w:type="paragraph" w:styleId="Stopka">
    <w:name w:val="footer"/>
    <w:basedOn w:val="Normalny"/>
    <w:uiPriority w:val="99"/>
    <w:rsid w:val="00F32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F32832"/>
  </w:style>
  <w:style w:type="paragraph" w:styleId="Tytu">
    <w:name w:val="Title"/>
    <w:basedOn w:val="Normalny"/>
    <w:next w:val="Normalny"/>
    <w:link w:val="TytuZnak"/>
    <w:qFormat/>
    <w:rsid w:val="0024114A"/>
    <w:pPr>
      <w:widowControl w:val="0"/>
      <w:autoSpaceDN/>
      <w:spacing w:after="0" w:line="240" w:lineRule="auto"/>
      <w:jc w:val="center"/>
      <w:textAlignment w:val="auto"/>
    </w:pPr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24114A"/>
    <w:rPr>
      <w:rFonts w:ascii="Liberation Serif" w:eastAsia="SimSun" w:hAnsi="Liberation Serif" w:cs="Mangal"/>
      <w:b/>
      <w:bCs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0C67C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DF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D4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ajarka</cp:lastModifiedBy>
  <cp:revision>19</cp:revision>
  <cp:lastPrinted>2024-04-12T11:48:00Z</cp:lastPrinted>
  <dcterms:created xsi:type="dcterms:W3CDTF">2022-09-26T10:09:00Z</dcterms:created>
  <dcterms:modified xsi:type="dcterms:W3CDTF">2024-04-22T11:33:00Z</dcterms:modified>
</cp:coreProperties>
</file>