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F353" w14:textId="625BA6D4" w:rsidR="00816802" w:rsidRPr="002667F9" w:rsidRDefault="00816802" w:rsidP="00816802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2667F9">
        <w:rPr>
          <w:rFonts w:ascii="Lato" w:hAnsi="Lato"/>
          <w:b/>
          <w:bCs/>
          <w:color w:val="00B0F0"/>
          <w:sz w:val="36"/>
          <w:szCs w:val="36"/>
          <w:u w:val="single"/>
        </w:rPr>
        <w:t>PODSUMOWANIE REFUNDACJI W 202</w:t>
      </w:r>
      <w:r w:rsidR="001C7C0D" w:rsidRPr="002667F9">
        <w:rPr>
          <w:rFonts w:ascii="Lato" w:hAnsi="Lato"/>
          <w:b/>
          <w:bCs/>
          <w:color w:val="00B0F0"/>
          <w:sz w:val="36"/>
          <w:szCs w:val="36"/>
          <w:u w:val="single"/>
        </w:rPr>
        <w:t>3</w:t>
      </w:r>
      <w:r w:rsidRPr="002667F9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ROKU (OBWIESZCZENIA NR 6</w:t>
      </w:r>
      <w:r w:rsidR="001C7C0D" w:rsidRPr="002667F9">
        <w:rPr>
          <w:rFonts w:ascii="Lato" w:hAnsi="Lato"/>
          <w:b/>
          <w:bCs/>
          <w:color w:val="00B0F0"/>
          <w:sz w:val="36"/>
          <w:szCs w:val="36"/>
          <w:u w:val="single"/>
        </w:rPr>
        <w:t>7</w:t>
      </w:r>
      <w:r w:rsidRPr="002667F9">
        <w:rPr>
          <w:rFonts w:ascii="Lato" w:hAnsi="Lato"/>
          <w:b/>
          <w:bCs/>
          <w:color w:val="00B0F0"/>
          <w:sz w:val="36"/>
          <w:szCs w:val="36"/>
          <w:u w:val="single"/>
        </w:rPr>
        <w:t>-</w:t>
      </w:r>
      <w:r w:rsidR="001C7C0D" w:rsidRPr="002667F9">
        <w:rPr>
          <w:rFonts w:ascii="Lato" w:hAnsi="Lato"/>
          <w:b/>
          <w:bCs/>
          <w:color w:val="00B0F0"/>
          <w:sz w:val="36"/>
          <w:szCs w:val="36"/>
          <w:u w:val="single"/>
        </w:rPr>
        <w:t>72</w:t>
      </w:r>
      <w:r w:rsidRPr="002667F9">
        <w:rPr>
          <w:rFonts w:ascii="Lato" w:hAnsi="Lato"/>
          <w:b/>
          <w:bCs/>
          <w:color w:val="00B0F0"/>
          <w:sz w:val="36"/>
          <w:szCs w:val="36"/>
          <w:u w:val="single"/>
        </w:rPr>
        <w:t>)</w:t>
      </w:r>
    </w:p>
    <w:p w14:paraId="031E6709" w14:textId="77777777" w:rsidR="00816802" w:rsidRPr="002667F9" w:rsidRDefault="00816802" w:rsidP="00816802">
      <w:pPr>
        <w:spacing w:before="360"/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2667F9">
        <w:rPr>
          <w:rFonts w:ascii="Lato" w:hAnsi="Lato"/>
          <w:b/>
          <w:bCs/>
          <w:color w:val="00B0F0"/>
          <w:sz w:val="28"/>
          <w:szCs w:val="28"/>
        </w:rPr>
        <w:t>STATYSTYKI</w:t>
      </w:r>
    </w:p>
    <w:p w14:paraId="4EAA632A" w14:textId="54EFE776" w:rsidR="00816ED3" w:rsidRPr="002667F9" w:rsidRDefault="00816ED3" w:rsidP="00A541E2">
      <w:pPr>
        <w:rPr>
          <w:rFonts w:ascii="Lato" w:hAnsi="Lato" w:cstheme="majorHAnsi"/>
          <w:sz w:val="24"/>
          <w:szCs w:val="24"/>
        </w:rPr>
      </w:pPr>
      <w:r w:rsidRPr="002667F9">
        <w:rPr>
          <w:rFonts w:ascii="Lato" w:hAnsi="Lato" w:cstheme="majorHAnsi"/>
          <w:sz w:val="24"/>
          <w:szCs w:val="24"/>
        </w:rPr>
        <w:t>W 202</w:t>
      </w:r>
      <w:r w:rsidR="001C7C0D" w:rsidRPr="002667F9">
        <w:rPr>
          <w:rFonts w:ascii="Lato" w:hAnsi="Lato" w:cstheme="majorHAnsi"/>
          <w:sz w:val="24"/>
          <w:szCs w:val="24"/>
        </w:rPr>
        <w:t>3</w:t>
      </w:r>
      <w:r w:rsidRPr="002667F9">
        <w:rPr>
          <w:rFonts w:ascii="Lato" w:hAnsi="Lato" w:cstheme="majorHAnsi"/>
          <w:sz w:val="24"/>
          <w:szCs w:val="24"/>
        </w:rPr>
        <w:t xml:space="preserve"> r. obwieszczenia refundacyjne obowiązujące od stycznia (nr </w:t>
      </w:r>
      <w:r w:rsidR="007645CA" w:rsidRPr="002667F9">
        <w:rPr>
          <w:rFonts w:ascii="Lato" w:hAnsi="Lato" w:cstheme="majorHAnsi"/>
          <w:sz w:val="24"/>
          <w:szCs w:val="24"/>
        </w:rPr>
        <w:t>6</w:t>
      </w:r>
      <w:r w:rsidR="001C7C0D" w:rsidRPr="002667F9">
        <w:rPr>
          <w:rFonts w:ascii="Lato" w:hAnsi="Lato" w:cstheme="majorHAnsi"/>
          <w:sz w:val="24"/>
          <w:szCs w:val="24"/>
        </w:rPr>
        <w:t>7</w:t>
      </w:r>
      <w:r w:rsidRPr="002667F9">
        <w:rPr>
          <w:rFonts w:ascii="Lato" w:hAnsi="Lato" w:cstheme="majorHAnsi"/>
          <w:sz w:val="24"/>
          <w:szCs w:val="24"/>
        </w:rPr>
        <w:t>) do</w:t>
      </w:r>
      <w:r w:rsidR="002B1DA1" w:rsidRPr="002667F9">
        <w:rPr>
          <w:rFonts w:ascii="Lato" w:hAnsi="Lato" w:cstheme="majorHAnsi"/>
          <w:sz w:val="24"/>
          <w:szCs w:val="24"/>
        </w:rPr>
        <w:t xml:space="preserve"> listopada</w:t>
      </w:r>
      <w:r w:rsidRPr="002667F9">
        <w:rPr>
          <w:rFonts w:ascii="Lato" w:hAnsi="Lato" w:cstheme="majorHAnsi"/>
          <w:sz w:val="24"/>
          <w:szCs w:val="24"/>
        </w:rPr>
        <w:t xml:space="preserve"> (nr </w:t>
      </w:r>
      <w:r w:rsidR="001C7C0D" w:rsidRPr="002667F9">
        <w:rPr>
          <w:rFonts w:ascii="Lato" w:hAnsi="Lato" w:cstheme="majorHAnsi"/>
          <w:sz w:val="24"/>
          <w:szCs w:val="24"/>
        </w:rPr>
        <w:t>72</w:t>
      </w:r>
      <w:r w:rsidRPr="002667F9">
        <w:rPr>
          <w:rFonts w:ascii="Lato" w:hAnsi="Lato" w:cstheme="majorHAnsi"/>
          <w:sz w:val="24"/>
          <w:szCs w:val="24"/>
        </w:rPr>
        <w:t>) zawierały następujące zmiany:</w:t>
      </w:r>
    </w:p>
    <w:p w14:paraId="79AB1DE4" w14:textId="74B7747A" w:rsidR="00816ED3" w:rsidRPr="00652917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="Lato" w:hAnsi="Lato" w:cstheme="majorHAnsi"/>
          <w:sz w:val="24"/>
          <w:szCs w:val="24"/>
        </w:rPr>
      </w:pPr>
      <w:r w:rsidRPr="00652917">
        <w:rPr>
          <w:rFonts w:ascii="Lato" w:hAnsi="Lato" w:cstheme="majorHAnsi"/>
          <w:sz w:val="24"/>
          <w:szCs w:val="24"/>
        </w:rPr>
        <w:t>W związku z wydaniem pozytywnych decyzji o objęciu refundacją został</w:t>
      </w:r>
      <w:r w:rsidR="00652917" w:rsidRPr="00652917">
        <w:rPr>
          <w:rFonts w:ascii="Lato" w:hAnsi="Lato" w:cstheme="majorHAnsi"/>
          <w:sz w:val="24"/>
          <w:szCs w:val="24"/>
        </w:rPr>
        <w:t>y</w:t>
      </w:r>
      <w:r w:rsidRPr="00652917">
        <w:rPr>
          <w:rFonts w:ascii="Lato" w:hAnsi="Lato" w:cstheme="majorHAnsi"/>
          <w:sz w:val="24"/>
          <w:szCs w:val="24"/>
        </w:rPr>
        <w:t xml:space="preserve"> dodan</w:t>
      </w:r>
      <w:r w:rsidR="00652917" w:rsidRPr="00652917">
        <w:rPr>
          <w:rFonts w:ascii="Lato" w:hAnsi="Lato" w:cstheme="majorHAnsi"/>
          <w:sz w:val="24"/>
          <w:szCs w:val="24"/>
        </w:rPr>
        <w:t>e</w:t>
      </w:r>
      <w:r w:rsidRPr="00652917">
        <w:rPr>
          <w:rFonts w:ascii="Lato" w:hAnsi="Lato" w:cstheme="majorHAnsi"/>
          <w:sz w:val="24"/>
          <w:szCs w:val="24"/>
        </w:rPr>
        <w:t xml:space="preserve"> </w:t>
      </w:r>
      <w:r w:rsidR="00652917" w:rsidRPr="00652917">
        <w:rPr>
          <w:rFonts w:ascii="Lato" w:hAnsi="Lato" w:cstheme="majorHAnsi"/>
          <w:sz w:val="24"/>
          <w:szCs w:val="24"/>
        </w:rPr>
        <w:t>554</w:t>
      </w:r>
      <w:r w:rsidRPr="00652917">
        <w:rPr>
          <w:rFonts w:ascii="Lato" w:hAnsi="Lato" w:cstheme="majorHAnsi"/>
          <w:sz w:val="24"/>
          <w:szCs w:val="24"/>
        </w:rPr>
        <w:t xml:space="preserve"> produkt</w:t>
      </w:r>
      <w:r w:rsidR="00652917" w:rsidRPr="00652917">
        <w:rPr>
          <w:rFonts w:ascii="Lato" w:hAnsi="Lato" w:cstheme="majorHAnsi"/>
          <w:sz w:val="24"/>
          <w:szCs w:val="24"/>
        </w:rPr>
        <w:t>y</w:t>
      </w:r>
      <w:r w:rsidRPr="00652917">
        <w:rPr>
          <w:rFonts w:ascii="Lato" w:hAnsi="Lato" w:cstheme="majorHAnsi"/>
          <w:sz w:val="24"/>
          <w:szCs w:val="24"/>
        </w:rPr>
        <w:t xml:space="preserve"> bądź now</w:t>
      </w:r>
      <w:r w:rsidR="00652917" w:rsidRPr="00652917">
        <w:rPr>
          <w:rFonts w:ascii="Lato" w:hAnsi="Lato" w:cstheme="majorHAnsi"/>
          <w:sz w:val="24"/>
          <w:szCs w:val="24"/>
        </w:rPr>
        <w:t>e</w:t>
      </w:r>
      <w:r w:rsidRPr="00652917">
        <w:rPr>
          <w:rFonts w:ascii="Lato" w:hAnsi="Lato" w:cstheme="majorHAnsi"/>
          <w:sz w:val="24"/>
          <w:szCs w:val="24"/>
        </w:rPr>
        <w:t xml:space="preserve"> wskaza</w:t>
      </w:r>
      <w:r w:rsidR="00652917" w:rsidRPr="00652917">
        <w:rPr>
          <w:rFonts w:ascii="Lato" w:hAnsi="Lato" w:cstheme="majorHAnsi"/>
          <w:sz w:val="24"/>
          <w:szCs w:val="24"/>
        </w:rPr>
        <w:t>nia</w:t>
      </w:r>
      <w:r w:rsidRPr="00652917">
        <w:rPr>
          <w:rFonts w:ascii="Lato" w:hAnsi="Lato" w:cstheme="majorHAnsi"/>
          <w:sz w:val="24"/>
          <w:szCs w:val="24"/>
        </w:rPr>
        <w:t>.</w:t>
      </w:r>
    </w:p>
    <w:p w14:paraId="34A6B9A7" w14:textId="70170445" w:rsidR="00816ED3" w:rsidRPr="002541D7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="Lato" w:hAnsi="Lato" w:cstheme="majorHAnsi"/>
          <w:sz w:val="24"/>
          <w:szCs w:val="24"/>
        </w:rPr>
      </w:pPr>
      <w:r w:rsidRPr="002541D7">
        <w:rPr>
          <w:rFonts w:ascii="Lato" w:hAnsi="Lato" w:cstheme="majorHAnsi"/>
          <w:sz w:val="24"/>
          <w:szCs w:val="24"/>
        </w:rPr>
        <w:t xml:space="preserve">Dla </w:t>
      </w:r>
      <w:r w:rsidR="00652917" w:rsidRPr="002541D7">
        <w:rPr>
          <w:rFonts w:ascii="Lato" w:hAnsi="Lato" w:cstheme="majorHAnsi"/>
          <w:sz w:val="24"/>
          <w:szCs w:val="24"/>
        </w:rPr>
        <w:t>433</w:t>
      </w:r>
      <w:r w:rsidRPr="002541D7">
        <w:rPr>
          <w:rFonts w:ascii="Lato" w:hAnsi="Lato" w:cstheme="majorHAnsi"/>
          <w:sz w:val="24"/>
          <w:szCs w:val="24"/>
        </w:rPr>
        <w:t xml:space="preserve"> produktów wprowadzono obniżki urzędowych cen zbytu (od 0,01 zł do </w:t>
      </w:r>
      <w:r w:rsidR="00652917" w:rsidRPr="002541D7">
        <w:rPr>
          <w:rFonts w:ascii="Lato" w:hAnsi="Lato" w:cstheme="majorHAnsi"/>
          <w:sz w:val="24"/>
          <w:szCs w:val="24"/>
        </w:rPr>
        <w:t>16794,00</w:t>
      </w:r>
      <w:r w:rsidRPr="002541D7">
        <w:rPr>
          <w:rFonts w:ascii="Lato" w:hAnsi="Lato" w:cstheme="majorHAnsi"/>
          <w:sz w:val="24"/>
          <w:szCs w:val="24"/>
        </w:rPr>
        <w:t xml:space="preserve"> zł).</w:t>
      </w:r>
    </w:p>
    <w:p w14:paraId="7B2CFF06" w14:textId="4421F8A8" w:rsidR="00816ED3" w:rsidRPr="002541D7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="Lato" w:hAnsi="Lato" w:cstheme="majorHAnsi"/>
          <w:sz w:val="24"/>
          <w:szCs w:val="24"/>
        </w:rPr>
      </w:pPr>
      <w:r w:rsidRPr="002541D7">
        <w:rPr>
          <w:rFonts w:ascii="Lato" w:hAnsi="Lato" w:cstheme="majorHAnsi"/>
          <w:sz w:val="24"/>
          <w:szCs w:val="24"/>
        </w:rPr>
        <w:t xml:space="preserve">Dla </w:t>
      </w:r>
      <w:r w:rsidR="00131DAC" w:rsidRPr="002541D7">
        <w:rPr>
          <w:rFonts w:ascii="Lato" w:hAnsi="Lato" w:cstheme="majorHAnsi"/>
          <w:sz w:val="24"/>
          <w:szCs w:val="24"/>
        </w:rPr>
        <w:t>341</w:t>
      </w:r>
      <w:r w:rsidRPr="002541D7">
        <w:rPr>
          <w:rFonts w:ascii="Lato" w:hAnsi="Lato" w:cstheme="majorHAnsi"/>
          <w:sz w:val="24"/>
          <w:szCs w:val="24"/>
        </w:rPr>
        <w:t xml:space="preserve"> produktów podwyższono urzędowe ceny zbytu (od 0,</w:t>
      </w:r>
      <w:r w:rsidR="006110C1" w:rsidRPr="002541D7">
        <w:rPr>
          <w:rFonts w:ascii="Lato" w:hAnsi="Lato" w:cstheme="majorHAnsi"/>
          <w:sz w:val="24"/>
          <w:szCs w:val="24"/>
        </w:rPr>
        <w:t>0</w:t>
      </w:r>
      <w:r w:rsidR="00131DAC" w:rsidRPr="002541D7">
        <w:rPr>
          <w:rFonts w:ascii="Lato" w:hAnsi="Lato" w:cstheme="majorHAnsi"/>
          <w:sz w:val="24"/>
          <w:szCs w:val="24"/>
        </w:rPr>
        <w:t>2</w:t>
      </w:r>
      <w:r w:rsidRPr="002541D7">
        <w:rPr>
          <w:rFonts w:ascii="Lato" w:hAnsi="Lato" w:cstheme="majorHAnsi"/>
          <w:sz w:val="24"/>
          <w:szCs w:val="24"/>
        </w:rPr>
        <w:t xml:space="preserve"> zł do </w:t>
      </w:r>
      <w:r w:rsidR="00131DAC" w:rsidRPr="002541D7">
        <w:rPr>
          <w:rFonts w:ascii="Lato" w:hAnsi="Lato" w:cstheme="majorHAnsi"/>
          <w:sz w:val="24"/>
          <w:szCs w:val="24"/>
        </w:rPr>
        <w:t>2160</w:t>
      </w:r>
      <w:r w:rsidRPr="002541D7">
        <w:rPr>
          <w:rFonts w:ascii="Lato" w:hAnsi="Lato" w:cstheme="majorHAnsi"/>
          <w:sz w:val="24"/>
          <w:szCs w:val="24"/>
        </w:rPr>
        <w:t>,00 zł).</w:t>
      </w:r>
    </w:p>
    <w:p w14:paraId="084094B3" w14:textId="162788A3" w:rsidR="00816ED3" w:rsidRPr="002541D7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Lato" w:hAnsi="Lato" w:cstheme="majorHAnsi"/>
          <w:sz w:val="24"/>
          <w:szCs w:val="24"/>
        </w:rPr>
      </w:pPr>
      <w:r w:rsidRPr="002541D7">
        <w:rPr>
          <w:rFonts w:ascii="Lato" w:hAnsi="Lato" w:cstheme="majorHAnsi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z wykazów usunięto </w:t>
      </w:r>
      <w:r w:rsidR="00575184" w:rsidRPr="002541D7">
        <w:rPr>
          <w:rFonts w:ascii="Lato" w:hAnsi="Lato" w:cstheme="majorHAnsi"/>
          <w:sz w:val="24"/>
          <w:szCs w:val="24"/>
        </w:rPr>
        <w:t xml:space="preserve">267 </w:t>
      </w:r>
      <w:r w:rsidRPr="002541D7">
        <w:rPr>
          <w:rFonts w:ascii="Lato" w:hAnsi="Lato" w:cstheme="majorHAnsi"/>
          <w:sz w:val="24"/>
          <w:szCs w:val="24"/>
        </w:rPr>
        <w:t>produktów bądź wskazań.</w:t>
      </w:r>
    </w:p>
    <w:p w14:paraId="6B99FA0C" w14:textId="642E1995" w:rsidR="00816ED3" w:rsidRPr="002541D7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Lato" w:hAnsi="Lato" w:cstheme="majorHAnsi"/>
          <w:sz w:val="24"/>
          <w:szCs w:val="24"/>
        </w:rPr>
      </w:pPr>
      <w:r w:rsidRPr="002541D7">
        <w:rPr>
          <w:rFonts w:ascii="Lato" w:hAnsi="Lato" w:cstheme="majorHAnsi"/>
          <w:sz w:val="24"/>
          <w:szCs w:val="24"/>
        </w:rPr>
        <w:t xml:space="preserve">W związku z obwieszczeniami nr </w:t>
      </w:r>
      <w:r w:rsidR="00FD3BAC" w:rsidRPr="002541D7">
        <w:rPr>
          <w:rFonts w:ascii="Lato" w:hAnsi="Lato" w:cstheme="majorHAnsi"/>
          <w:sz w:val="24"/>
          <w:szCs w:val="24"/>
        </w:rPr>
        <w:t>6</w:t>
      </w:r>
      <w:r w:rsidR="006444BE" w:rsidRPr="002541D7">
        <w:rPr>
          <w:rFonts w:ascii="Lato" w:hAnsi="Lato" w:cstheme="majorHAnsi"/>
          <w:sz w:val="24"/>
          <w:szCs w:val="24"/>
        </w:rPr>
        <w:t>7</w:t>
      </w:r>
      <w:r w:rsidRPr="002541D7">
        <w:rPr>
          <w:rFonts w:ascii="Lato" w:hAnsi="Lato" w:cstheme="majorHAnsi"/>
          <w:sz w:val="24"/>
          <w:szCs w:val="24"/>
        </w:rPr>
        <w:t xml:space="preserve"> – </w:t>
      </w:r>
      <w:r w:rsidR="006444BE" w:rsidRPr="002541D7">
        <w:rPr>
          <w:rFonts w:ascii="Lato" w:hAnsi="Lato" w:cstheme="majorHAnsi"/>
          <w:sz w:val="24"/>
          <w:szCs w:val="24"/>
        </w:rPr>
        <w:t>72</w:t>
      </w:r>
      <w:r w:rsidRPr="002541D7">
        <w:rPr>
          <w:rFonts w:ascii="Lato" w:hAnsi="Lato" w:cstheme="majorHAnsi"/>
          <w:sz w:val="24"/>
          <w:szCs w:val="24"/>
        </w:rPr>
        <w:t xml:space="preserve"> wydano </w:t>
      </w:r>
      <w:r w:rsidR="004A60C6" w:rsidRPr="002541D7">
        <w:rPr>
          <w:rFonts w:ascii="Lato" w:hAnsi="Lato" w:cstheme="majorHAnsi"/>
          <w:sz w:val="24"/>
          <w:szCs w:val="24"/>
        </w:rPr>
        <w:t>5480</w:t>
      </w:r>
      <w:r w:rsidRPr="002541D7">
        <w:rPr>
          <w:rFonts w:ascii="Lato" w:hAnsi="Lato" w:cstheme="majorHAnsi"/>
          <w:sz w:val="24"/>
          <w:szCs w:val="24"/>
        </w:rPr>
        <w:t xml:space="preserve"> decyzj</w:t>
      </w:r>
      <w:r w:rsidR="004A60C6" w:rsidRPr="002541D7">
        <w:rPr>
          <w:rFonts w:ascii="Lato" w:hAnsi="Lato" w:cstheme="majorHAnsi"/>
          <w:sz w:val="24"/>
          <w:szCs w:val="24"/>
        </w:rPr>
        <w:t>i</w:t>
      </w:r>
      <w:r w:rsidRPr="002541D7">
        <w:rPr>
          <w:rFonts w:ascii="Lato" w:hAnsi="Lato" w:cstheme="majorHAnsi"/>
          <w:sz w:val="24"/>
          <w:szCs w:val="24"/>
        </w:rPr>
        <w:t xml:space="preserve"> administracyjn</w:t>
      </w:r>
      <w:r w:rsidR="004A60C6" w:rsidRPr="002541D7">
        <w:rPr>
          <w:rFonts w:ascii="Lato" w:hAnsi="Lato" w:cstheme="majorHAnsi"/>
          <w:sz w:val="24"/>
          <w:szCs w:val="24"/>
        </w:rPr>
        <w:t>ych</w:t>
      </w:r>
      <w:r w:rsidR="0010323F" w:rsidRPr="002541D7">
        <w:rPr>
          <w:rFonts w:ascii="Lato" w:hAnsi="Lato" w:cstheme="majorHAnsi"/>
          <w:sz w:val="24"/>
          <w:szCs w:val="24"/>
        </w:rPr>
        <w:t xml:space="preserve"> (do 1</w:t>
      </w:r>
      <w:r w:rsidR="00C67ADF" w:rsidRPr="002541D7">
        <w:rPr>
          <w:rFonts w:ascii="Lato" w:hAnsi="Lato" w:cstheme="majorHAnsi"/>
          <w:sz w:val="24"/>
          <w:szCs w:val="24"/>
        </w:rPr>
        <w:t>0</w:t>
      </w:r>
      <w:r w:rsidR="0010323F" w:rsidRPr="002541D7">
        <w:rPr>
          <w:rFonts w:ascii="Lato" w:hAnsi="Lato" w:cstheme="majorHAnsi"/>
          <w:sz w:val="24"/>
          <w:szCs w:val="24"/>
        </w:rPr>
        <w:t xml:space="preserve"> grudnia 202</w:t>
      </w:r>
      <w:r w:rsidR="00C67ADF" w:rsidRPr="002541D7">
        <w:rPr>
          <w:rFonts w:ascii="Lato" w:hAnsi="Lato" w:cstheme="majorHAnsi"/>
          <w:sz w:val="24"/>
          <w:szCs w:val="24"/>
        </w:rPr>
        <w:t>3</w:t>
      </w:r>
      <w:r w:rsidR="0010323F" w:rsidRPr="002541D7">
        <w:rPr>
          <w:rFonts w:ascii="Lato" w:hAnsi="Lato" w:cstheme="majorHAnsi"/>
          <w:sz w:val="24"/>
          <w:szCs w:val="24"/>
        </w:rPr>
        <w:t xml:space="preserve"> r.)</w:t>
      </w:r>
      <w:r w:rsidR="00652447" w:rsidRPr="002541D7">
        <w:rPr>
          <w:rFonts w:ascii="Lato" w:hAnsi="Lato" w:cstheme="majorHAnsi"/>
          <w:sz w:val="24"/>
          <w:szCs w:val="24"/>
        </w:rPr>
        <w:t xml:space="preserve"> (dla porównania w związku z obwieszczeniami </w:t>
      </w:r>
      <w:r w:rsidR="004A60C6" w:rsidRPr="002541D7">
        <w:rPr>
          <w:rFonts w:ascii="Lato" w:hAnsi="Lato" w:cstheme="majorHAnsi"/>
          <w:sz w:val="24"/>
          <w:szCs w:val="24"/>
        </w:rPr>
        <w:t>61</w:t>
      </w:r>
      <w:r w:rsidR="00652447" w:rsidRPr="002541D7">
        <w:rPr>
          <w:rFonts w:ascii="Lato" w:hAnsi="Lato" w:cstheme="majorHAnsi"/>
          <w:sz w:val="24"/>
          <w:szCs w:val="24"/>
        </w:rPr>
        <w:t xml:space="preserve"> – 6</w:t>
      </w:r>
      <w:r w:rsidR="004A60C6" w:rsidRPr="002541D7">
        <w:rPr>
          <w:rFonts w:ascii="Lato" w:hAnsi="Lato" w:cstheme="majorHAnsi"/>
          <w:sz w:val="24"/>
          <w:szCs w:val="24"/>
        </w:rPr>
        <w:t>6</w:t>
      </w:r>
      <w:r w:rsidR="00652447" w:rsidRPr="002541D7">
        <w:rPr>
          <w:rFonts w:ascii="Lato" w:hAnsi="Lato" w:cstheme="majorHAnsi"/>
          <w:sz w:val="24"/>
          <w:szCs w:val="24"/>
        </w:rPr>
        <w:t xml:space="preserve"> wydano </w:t>
      </w:r>
      <w:r w:rsidR="004A60C6" w:rsidRPr="002541D7">
        <w:rPr>
          <w:rFonts w:ascii="Lato" w:hAnsi="Lato" w:cstheme="majorHAnsi"/>
          <w:sz w:val="24"/>
          <w:szCs w:val="24"/>
        </w:rPr>
        <w:t>7893</w:t>
      </w:r>
      <w:r w:rsidR="00652447" w:rsidRPr="002541D7">
        <w:rPr>
          <w:rFonts w:ascii="Lato" w:hAnsi="Lato" w:cstheme="majorHAnsi"/>
          <w:sz w:val="24"/>
          <w:szCs w:val="24"/>
        </w:rPr>
        <w:t xml:space="preserve"> decyzji administracyjnych)</w:t>
      </w:r>
      <w:r w:rsidR="003C2525" w:rsidRPr="002541D7">
        <w:rPr>
          <w:rFonts w:ascii="Lato" w:hAnsi="Lato" w:cstheme="majorHAnsi"/>
          <w:sz w:val="24"/>
          <w:szCs w:val="24"/>
        </w:rPr>
        <w:t>.</w:t>
      </w:r>
    </w:p>
    <w:p w14:paraId="0D1A9CEB" w14:textId="7F0E1263" w:rsidR="00816ED3" w:rsidRPr="002541D7" w:rsidRDefault="00974E35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Lato" w:hAnsi="Lato" w:cstheme="majorHAnsi"/>
          <w:sz w:val="24"/>
          <w:szCs w:val="24"/>
        </w:rPr>
      </w:pPr>
      <w:r w:rsidRPr="002541D7">
        <w:rPr>
          <w:rFonts w:ascii="Lato" w:hAnsi="Lato" w:cstheme="majorHAnsi"/>
          <w:sz w:val="24"/>
          <w:szCs w:val="24"/>
        </w:rPr>
        <w:t>W 202</w:t>
      </w:r>
      <w:r w:rsidR="00C67ADF" w:rsidRPr="002541D7">
        <w:rPr>
          <w:rFonts w:ascii="Lato" w:hAnsi="Lato" w:cstheme="majorHAnsi"/>
          <w:sz w:val="24"/>
          <w:szCs w:val="24"/>
        </w:rPr>
        <w:t>3</w:t>
      </w:r>
      <w:r w:rsidRPr="002541D7">
        <w:rPr>
          <w:rFonts w:ascii="Lato" w:hAnsi="Lato" w:cstheme="majorHAnsi"/>
          <w:sz w:val="24"/>
          <w:szCs w:val="24"/>
        </w:rPr>
        <w:t xml:space="preserve"> r. (do 1</w:t>
      </w:r>
      <w:r w:rsidR="00C67ADF" w:rsidRPr="002541D7">
        <w:rPr>
          <w:rFonts w:ascii="Lato" w:hAnsi="Lato" w:cstheme="majorHAnsi"/>
          <w:sz w:val="24"/>
          <w:szCs w:val="24"/>
        </w:rPr>
        <w:t>0</w:t>
      </w:r>
      <w:r w:rsidRPr="002541D7">
        <w:rPr>
          <w:rFonts w:ascii="Lato" w:hAnsi="Lato" w:cstheme="majorHAnsi"/>
          <w:sz w:val="24"/>
          <w:szCs w:val="24"/>
        </w:rPr>
        <w:t xml:space="preserve"> </w:t>
      </w:r>
      <w:r w:rsidR="006110C1" w:rsidRPr="002541D7">
        <w:rPr>
          <w:rFonts w:ascii="Lato" w:hAnsi="Lato" w:cstheme="majorHAnsi"/>
          <w:sz w:val="24"/>
          <w:szCs w:val="24"/>
        </w:rPr>
        <w:t>grudnia</w:t>
      </w:r>
      <w:r w:rsidRPr="002541D7">
        <w:rPr>
          <w:rFonts w:ascii="Lato" w:hAnsi="Lato" w:cstheme="majorHAnsi"/>
          <w:sz w:val="24"/>
          <w:szCs w:val="24"/>
        </w:rPr>
        <w:t xml:space="preserve"> 202</w:t>
      </w:r>
      <w:r w:rsidR="00C67ADF" w:rsidRPr="002541D7">
        <w:rPr>
          <w:rFonts w:ascii="Lato" w:hAnsi="Lato" w:cstheme="majorHAnsi"/>
          <w:sz w:val="24"/>
          <w:szCs w:val="24"/>
        </w:rPr>
        <w:t>3</w:t>
      </w:r>
      <w:r w:rsidRPr="002541D7">
        <w:rPr>
          <w:rFonts w:ascii="Lato" w:hAnsi="Lato" w:cstheme="majorHAnsi"/>
          <w:sz w:val="24"/>
          <w:szCs w:val="24"/>
        </w:rPr>
        <w:t xml:space="preserve"> r.) </w:t>
      </w:r>
      <w:r w:rsidR="00816ED3" w:rsidRPr="002541D7">
        <w:rPr>
          <w:rFonts w:ascii="Lato" w:hAnsi="Lato" w:cstheme="majorHAnsi"/>
          <w:sz w:val="24"/>
          <w:szCs w:val="24"/>
        </w:rPr>
        <w:t xml:space="preserve">wpłynęło </w:t>
      </w:r>
      <w:r w:rsidR="006110C1" w:rsidRPr="002541D7">
        <w:rPr>
          <w:rFonts w:ascii="Lato" w:hAnsi="Lato" w:cstheme="majorHAnsi"/>
          <w:sz w:val="24"/>
          <w:szCs w:val="24"/>
        </w:rPr>
        <w:t>2</w:t>
      </w:r>
      <w:r w:rsidR="00E106D9" w:rsidRPr="002541D7">
        <w:rPr>
          <w:rFonts w:ascii="Lato" w:hAnsi="Lato" w:cstheme="majorHAnsi"/>
          <w:sz w:val="24"/>
          <w:szCs w:val="24"/>
        </w:rPr>
        <w:t>899</w:t>
      </w:r>
      <w:r w:rsidR="006110C1" w:rsidRPr="002541D7">
        <w:rPr>
          <w:rFonts w:ascii="Lato" w:hAnsi="Lato" w:cstheme="majorHAnsi"/>
          <w:sz w:val="24"/>
          <w:szCs w:val="24"/>
        </w:rPr>
        <w:t xml:space="preserve"> </w:t>
      </w:r>
      <w:r w:rsidR="00816ED3" w:rsidRPr="002541D7">
        <w:rPr>
          <w:rFonts w:ascii="Lato" w:hAnsi="Lato" w:cstheme="majorHAnsi"/>
          <w:sz w:val="24"/>
          <w:szCs w:val="24"/>
        </w:rPr>
        <w:t>wniosk</w:t>
      </w:r>
      <w:r w:rsidR="00E106D9" w:rsidRPr="002541D7">
        <w:rPr>
          <w:rFonts w:ascii="Lato" w:hAnsi="Lato" w:cstheme="majorHAnsi"/>
          <w:sz w:val="24"/>
          <w:szCs w:val="24"/>
        </w:rPr>
        <w:t>ów</w:t>
      </w:r>
      <w:r w:rsidR="00816ED3" w:rsidRPr="002541D7">
        <w:rPr>
          <w:rFonts w:ascii="Lato" w:hAnsi="Lato" w:cstheme="majorHAnsi"/>
          <w:sz w:val="24"/>
          <w:szCs w:val="24"/>
        </w:rPr>
        <w:t xml:space="preserve"> </w:t>
      </w:r>
      <w:r w:rsidRPr="002541D7">
        <w:rPr>
          <w:rFonts w:ascii="Lato" w:hAnsi="Lato" w:cstheme="majorHAnsi"/>
          <w:sz w:val="24"/>
          <w:szCs w:val="24"/>
        </w:rPr>
        <w:t xml:space="preserve">(łącznie: </w:t>
      </w:r>
      <w:r w:rsidR="00816ED3" w:rsidRPr="002541D7">
        <w:rPr>
          <w:rFonts w:ascii="Lato" w:hAnsi="Lato" w:cstheme="majorHAnsi"/>
          <w:sz w:val="24"/>
          <w:szCs w:val="24"/>
        </w:rPr>
        <w:t>o objęcie refundacją,</w:t>
      </w:r>
      <w:r w:rsidRPr="002541D7">
        <w:rPr>
          <w:rFonts w:ascii="Lato" w:hAnsi="Lato" w:cstheme="majorHAnsi"/>
          <w:sz w:val="24"/>
          <w:szCs w:val="24"/>
        </w:rPr>
        <w:t xml:space="preserve"> podwyższenie, obniżenie ceny oraz skrócenie obowiązywania decyzji) (dla porównania </w:t>
      </w:r>
      <w:r w:rsidR="00BC5518" w:rsidRPr="002541D7">
        <w:rPr>
          <w:rFonts w:ascii="Lato" w:hAnsi="Lato" w:cstheme="majorHAnsi"/>
          <w:sz w:val="24"/>
          <w:szCs w:val="24"/>
        </w:rPr>
        <w:t xml:space="preserve">w </w:t>
      </w:r>
      <w:r w:rsidRPr="002541D7">
        <w:rPr>
          <w:rFonts w:ascii="Lato" w:hAnsi="Lato" w:cstheme="majorHAnsi"/>
          <w:sz w:val="24"/>
          <w:szCs w:val="24"/>
        </w:rPr>
        <w:t>202</w:t>
      </w:r>
      <w:r w:rsidR="00C67ADF" w:rsidRPr="002541D7">
        <w:rPr>
          <w:rFonts w:ascii="Lato" w:hAnsi="Lato" w:cstheme="majorHAnsi"/>
          <w:sz w:val="24"/>
          <w:szCs w:val="24"/>
        </w:rPr>
        <w:t>2</w:t>
      </w:r>
      <w:r w:rsidR="00816ED3" w:rsidRPr="002541D7">
        <w:rPr>
          <w:rFonts w:ascii="Lato" w:hAnsi="Lato" w:cstheme="majorHAnsi"/>
          <w:sz w:val="24"/>
          <w:szCs w:val="24"/>
        </w:rPr>
        <w:t xml:space="preserve"> wpłynęło</w:t>
      </w:r>
      <w:r w:rsidR="00BC5518" w:rsidRPr="002541D7">
        <w:rPr>
          <w:rFonts w:ascii="Lato" w:hAnsi="Lato" w:cstheme="majorHAnsi"/>
          <w:sz w:val="24"/>
          <w:szCs w:val="24"/>
        </w:rPr>
        <w:t xml:space="preserve"> </w:t>
      </w:r>
      <w:r w:rsidR="002541D7" w:rsidRPr="002541D7">
        <w:rPr>
          <w:rFonts w:ascii="Lato" w:hAnsi="Lato" w:cstheme="majorHAnsi"/>
          <w:sz w:val="24"/>
          <w:szCs w:val="24"/>
        </w:rPr>
        <w:t>2511</w:t>
      </w:r>
      <w:r w:rsidR="00BC5518" w:rsidRPr="002541D7">
        <w:rPr>
          <w:rFonts w:ascii="Lato" w:hAnsi="Lato" w:cstheme="majorHAnsi"/>
          <w:sz w:val="24"/>
          <w:szCs w:val="24"/>
        </w:rPr>
        <w:t xml:space="preserve"> </w:t>
      </w:r>
      <w:r w:rsidR="00804B8E" w:rsidRPr="002541D7">
        <w:rPr>
          <w:rFonts w:ascii="Lato" w:hAnsi="Lato" w:cstheme="majorHAnsi"/>
          <w:sz w:val="24"/>
          <w:szCs w:val="24"/>
        </w:rPr>
        <w:t>wniosków</w:t>
      </w:r>
      <w:r w:rsidR="00BC5518" w:rsidRPr="002541D7">
        <w:rPr>
          <w:rFonts w:ascii="Lato" w:hAnsi="Lato" w:cstheme="majorHAnsi"/>
          <w:sz w:val="24"/>
          <w:szCs w:val="24"/>
        </w:rPr>
        <w:t>)</w:t>
      </w:r>
      <w:r w:rsidR="00804B8E" w:rsidRPr="002541D7">
        <w:rPr>
          <w:rFonts w:ascii="Lato" w:hAnsi="Lato" w:cstheme="majorHAnsi"/>
          <w:sz w:val="24"/>
          <w:szCs w:val="24"/>
        </w:rPr>
        <w:t>.</w:t>
      </w:r>
    </w:p>
    <w:p w14:paraId="51028EE7" w14:textId="145FC488" w:rsidR="00816ED3" w:rsidRPr="002541D7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="Lato" w:hAnsi="Lato" w:cstheme="majorHAnsi"/>
          <w:sz w:val="24"/>
          <w:szCs w:val="24"/>
        </w:rPr>
      </w:pPr>
      <w:r w:rsidRPr="002541D7">
        <w:rPr>
          <w:rFonts w:ascii="Lato" w:hAnsi="Lato" w:cstheme="majorHAnsi"/>
          <w:sz w:val="24"/>
          <w:szCs w:val="24"/>
        </w:rPr>
        <w:t>W 202</w:t>
      </w:r>
      <w:r w:rsidR="00575184" w:rsidRPr="002541D7">
        <w:rPr>
          <w:rFonts w:ascii="Lato" w:hAnsi="Lato" w:cstheme="majorHAnsi"/>
          <w:sz w:val="24"/>
          <w:szCs w:val="24"/>
        </w:rPr>
        <w:t>3</w:t>
      </w:r>
      <w:r w:rsidRPr="002541D7">
        <w:rPr>
          <w:rFonts w:ascii="Lato" w:hAnsi="Lato" w:cstheme="majorHAnsi"/>
          <w:sz w:val="24"/>
          <w:szCs w:val="24"/>
        </w:rPr>
        <w:t xml:space="preserve"> r. refundacją objęto </w:t>
      </w:r>
      <w:r w:rsidR="006110C1" w:rsidRPr="002541D7">
        <w:rPr>
          <w:rFonts w:ascii="Lato" w:hAnsi="Lato" w:cstheme="majorHAnsi"/>
          <w:sz w:val="24"/>
          <w:szCs w:val="24"/>
        </w:rPr>
        <w:t>1</w:t>
      </w:r>
      <w:r w:rsidR="00575184" w:rsidRPr="002541D7">
        <w:rPr>
          <w:rFonts w:ascii="Lato" w:hAnsi="Lato" w:cstheme="majorHAnsi"/>
          <w:sz w:val="24"/>
          <w:szCs w:val="24"/>
        </w:rPr>
        <w:t>4</w:t>
      </w:r>
      <w:r w:rsidR="006110C1" w:rsidRPr="002541D7">
        <w:rPr>
          <w:rFonts w:ascii="Lato" w:hAnsi="Lato" w:cstheme="majorHAnsi"/>
          <w:sz w:val="24"/>
          <w:szCs w:val="24"/>
        </w:rPr>
        <w:t>5</w:t>
      </w:r>
      <w:r w:rsidRPr="002541D7">
        <w:rPr>
          <w:rFonts w:ascii="Lato" w:hAnsi="Lato" w:cstheme="majorHAnsi"/>
          <w:sz w:val="24"/>
          <w:szCs w:val="24"/>
        </w:rPr>
        <w:t xml:space="preserve"> nowych cząsteczko</w:t>
      </w:r>
      <w:r w:rsidR="002B1197" w:rsidRPr="002541D7">
        <w:rPr>
          <w:rFonts w:ascii="Lato" w:hAnsi="Lato" w:cstheme="majorHAnsi"/>
          <w:sz w:val="24"/>
          <w:szCs w:val="24"/>
        </w:rPr>
        <w:t>-</w:t>
      </w:r>
      <w:r w:rsidRPr="002541D7">
        <w:rPr>
          <w:rFonts w:ascii="Lato" w:hAnsi="Lato" w:cstheme="majorHAnsi"/>
          <w:sz w:val="24"/>
          <w:szCs w:val="24"/>
        </w:rPr>
        <w:t>wskazań</w:t>
      </w:r>
      <w:r w:rsidR="00B25313" w:rsidRPr="002541D7">
        <w:rPr>
          <w:rFonts w:ascii="Lato" w:hAnsi="Lato" w:cstheme="majorHAnsi"/>
          <w:sz w:val="24"/>
          <w:szCs w:val="24"/>
        </w:rPr>
        <w:t xml:space="preserve"> (dla porównania w 202</w:t>
      </w:r>
      <w:r w:rsidR="00575184" w:rsidRPr="002541D7">
        <w:rPr>
          <w:rFonts w:ascii="Lato" w:hAnsi="Lato" w:cstheme="majorHAnsi"/>
          <w:sz w:val="24"/>
          <w:szCs w:val="24"/>
        </w:rPr>
        <w:t>2</w:t>
      </w:r>
      <w:r w:rsidR="00B25313" w:rsidRPr="002541D7">
        <w:rPr>
          <w:rFonts w:ascii="Lato" w:hAnsi="Lato" w:cstheme="majorHAnsi"/>
          <w:sz w:val="24"/>
          <w:szCs w:val="24"/>
        </w:rPr>
        <w:t xml:space="preserve"> r. refundacją objęto </w:t>
      </w:r>
      <w:r w:rsidR="00575184" w:rsidRPr="002541D7">
        <w:rPr>
          <w:rFonts w:ascii="Lato" w:hAnsi="Lato" w:cstheme="majorHAnsi"/>
          <w:sz w:val="24"/>
          <w:szCs w:val="24"/>
        </w:rPr>
        <w:t>115</w:t>
      </w:r>
      <w:r w:rsidR="00B25313" w:rsidRPr="002541D7">
        <w:rPr>
          <w:rFonts w:ascii="Lato" w:hAnsi="Lato" w:cstheme="majorHAnsi"/>
          <w:sz w:val="24"/>
          <w:szCs w:val="24"/>
        </w:rPr>
        <w:t xml:space="preserve"> nowych cząsteczko</w:t>
      </w:r>
      <w:r w:rsidR="002B1197" w:rsidRPr="002541D7">
        <w:rPr>
          <w:rFonts w:ascii="Lato" w:hAnsi="Lato" w:cstheme="majorHAnsi"/>
          <w:sz w:val="24"/>
          <w:szCs w:val="24"/>
        </w:rPr>
        <w:t>-</w:t>
      </w:r>
      <w:r w:rsidR="00B25313" w:rsidRPr="002541D7">
        <w:rPr>
          <w:rFonts w:ascii="Lato" w:hAnsi="Lato" w:cstheme="majorHAnsi"/>
          <w:sz w:val="24"/>
          <w:szCs w:val="24"/>
        </w:rPr>
        <w:t>wskazań)</w:t>
      </w:r>
      <w:r w:rsidRPr="002541D7">
        <w:rPr>
          <w:rFonts w:ascii="Lato" w:hAnsi="Lato" w:cstheme="majorHAnsi"/>
          <w:sz w:val="24"/>
          <w:szCs w:val="24"/>
        </w:rPr>
        <w:t>. Podział ze względu na rodzaj wskazań, kategorię dostępności, choroby rzadkie przedstawiono na wykresach poniżej.</w:t>
      </w:r>
    </w:p>
    <w:p w14:paraId="79FA59D7" w14:textId="731A1EC3" w:rsidR="00816ED3" w:rsidRPr="002667F9" w:rsidRDefault="00816ED3" w:rsidP="00816ED3">
      <w:pPr>
        <w:jc w:val="both"/>
        <w:rPr>
          <w:rFonts w:ascii="Lato" w:hAnsi="Lato"/>
          <w:color w:val="FF0000"/>
          <w:sz w:val="24"/>
          <w:szCs w:val="24"/>
        </w:rPr>
      </w:pPr>
    </w:p>
    <w:p w14:paraId="69411C75" w14:textId="2BBB53A0" w:rsidR="00816802" w:rsidRPr="002667F9" w:rsidRDefault="00051253" w:rsidP="00816802">
      <w:pPr>
        <w:rPr>
          <w:rFonts w:ascii="Lato" w:hAnsi="Lato"/>
          <w:noProof/>
        </w:rPr>
      </w:pPr>
      <w:r>
        <w:rPr>
          <w:noProof/>
        </w:rPr>
        <w:lastRenderedPageBreak/>
        <w:drawing>
          <wp:inline distT="0" distB="0" distL="0" distR="0" wp14:anchorId="0F1A066B" wp14:editId="36E0D62F">
            <wp:extent cx="2924175" cy="2959100"/>
            <wp:effectExtent l="0" t="0" r="9525" b="12700"/>
            <wp:docPr id="448310115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C6264FB-FD58-49E5-89F0-4DFCA70BD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8735B" w:rsidRPr="002667F9">
        <w:rPr>
          <w:rFonts w:ascii="Lato" w:hAnsi="Lato"/>
          <w:noProof/>
        </w:rPr>
        <w:t xml:space="preserve"> </w:t>
      </w:r>
      <w:r w:rsidR="00C510DE">
        <w:rPr>
          <w:noProof/>
        </w:rPr>
        <w:drawing>
          <wp:inline distT="0" distB="0" distL="0" distR="0" wp14:anchorId="6F582F45" wp14:editId="173A6928">
            <wp:extent cx="2923540" cy="2973070"/>
            <wp:effectExtent l="0" t="0" r="10160" b="17780"/>
            <wp:docPr id="1527414753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B5F9B1B-E4F9-4A2F-8C0A-EDCEDEE59B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8735B" w:rsidRPr="002667F9">
        <w:rPr>
          <w:rFonts w:ascii="Lato" w:hAnsi="Lato"/>
          <w:noProof/>
        </w:rPr>
        <w:t xml:space="preserve"> </w:t>
      </w:r>
      <w:r w:rsidR="00D019FD">
        <w:rPr>
          <w:noProof/>
        </w:rPr>
        <w:drawing>
          <wp:inline distT="0" distB="0" distL="0" distR="0" wp14:anchorId="099362E7" wp14:editId="6A859AD2">
            <wp:extent cx="2858770" cy="2987012"/>
            <wp:effectExtent l="0" t="0" r="17780" b="4445"/>
            <wp:docPr id="100081427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43F10CD-66D6-4C36-8917-38AAEB39D0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B115A" w:rsidRPr="002667F9">
        <w:rPr>
          <w:rFonts w:ascii="Lato" w:hAnsi="Lato"/>
          <w:noProof/>
        </w:rPr>
        <w:t xml:space="preserve"> </w:t>
      </w:r>
    </w:p>
    <w:p w14:paraId="02485099" w14:textId="1D4000E1" w:rsidR="00BA1ACD" w:rsidRPr="002667F9" w:rsidRDefault="0028574E" w:rsidP="00097FDB">
      <w:pPr>
        <w:suppressAutoHyphens w:val="0"/>
        <w:spacing w:line="252" w:lineRule="auto"/>
        <w:textAlignment w:val="auto"/>
        <w:rPr>
          <w:rFonts w:ascii="Lato" w:hAnsi="Lato"/>
          <w:b/>
          <w:bCs/>
          <w:color w:val="00B0F0"/>
          <w:sz w:val="28"/>
          <w:szCs w:val="28"/>
        </w:rPr>
      </w:pPr>
      <w:r w:rsidRPr="002667F9">
        <w:rPr>
          <w:rFonts w:ascii="Lato" w:hAnsi="Lato"/>
          <w:b/>
          <w:bCs/>
          <w:color w:val="00B0F0"/>
          <w:sz w:val="28"/>
          <w:szCs w:val="28"/>
        </w:rPr>
        <w:t xml:space="preserve"> </w:t>
      </w:r>
      <w:r w:rsidR="009E560E">
        <w:rPr>
          <w:noProof/>
        </w:rPr>
        <w:drawing>
          <wp:inline distT="0" distB="0" distL="0" distR="0" wp14:anchorId="2A8BDCC6" wp14:editId="33A28179">
            <wp:extent cx="4346812" cy="2948940"/>
            <wp:effectExtent l="0" t="0" r="15875" b="3810"/>
            <wp:docPr id="59780710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9F9A193-17B8-4E0A-8F85-B5AD1F1CD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D04F5" w:rsidRPr="002667F9">
        <w:rPr>
          <w:rFonts w:ascii="Lato" w:hAnsi="Lato"/>
          <w:b/>
          <w:bCs/>
          <w:color w:val="00B0F0"/>
          <w:sz w:val="28"/>
          <w:szCs w:val="28"/>
        </w:rPr>
        <w:t xml:space="preserve"> </w:t>
      </w:r>
      <w:r w:rsidR="0040222E">
        <w:rPr>
          <w:noProof/>
        </w:rPr>
        <w:drawing>
          <wp:inline distT="0" distB="0" distL="0" distR="0" wp14:anchorId="11A00CC5" wp14:editId="48C387E5">
            <wp:extent cx="4352925" cy="2944173"/>
            <wp:effectExtent l="0" t="0" r="9525" b="8890"/>
            <wp:docPr id="72316015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053501B-B86A-49A7-902E-BBDFC455FD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EDA114" w14:textId="77777777" w:rsidR="00816802" w:rsidRPr="002667F9" w:rsidRDefault="00816802" w:rsidP="00816802">
      <w:pPr>
        <w:jc w:val="center"/>
        <w:rPr>
          <w:rFonts w:ascii="Lato" w:hAnsi="Lato" w:cstheme="majorHAnsi"/>
          <w:b/>
          <w:bCs/>
          <w:color w:val="00B0F0"/>
          <w:sz w:val="28"/>
          <w:szCs w:val="28"/>
        </w:rPr>
      </w:pPr>
      <w:r w:rsidRPr="002667F9">
        <w:rPr>
          <w:rFonts w:ascii="Lato" w:hAnsi="Lato" w:cstheme="majorHAnsi"/>
          <w:b/>
          <w:bCs/>
          <w:color w:val="00B0F0"/>
          <w:sz w:val="28"/>
          <w:szCs w:val="28"/>
        </w:rPr>
        <w:lastRenderedPageBreak/>
        <w:t>NOWE WSKAZANIA ORAZ ZMIANY W PROGRAMACH LEKOWYCH i CHEMIOTERAPII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09"/>
        <w:gridCol w:w="1853"/>
        <w:gridCol w:w="1996"/>
        <w:gridCol w:w="3401"/>
        <w:gridCol w:w="4643"/>
      </w:tblGrid>
      <w:tr w:rsidR="00816802" w:rsidRPr="002667F9" w14:paraId="57DBB0A2" w14:textId="77777777" w:rsidTr="004D78D6">
        <w:trPr>
          <w:cantSplit/>
          <w:trHeight w:val="19"/>
        </w:trPr>
        <w:tc>
          <w:tcPr>
            <w:tcW w:w="5000" w:type="pct"/>
            <w:gridSpan w:val="6"/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3750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  <w:t>Programy lekowe i chemioterapia</w:t>
            </w:r>
          </w:p>
        </w:tc>
      </w:tr>
      <w:tr w:rsidR="00816802" w:rsidRPr="002667F9" w14:paraId="7B0FB716" w14:textId="77777777" w:rsidTr="004D78D6">
        <w:trPr>
          <w:cantSplit/>
          <w:trHeight w:val="19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2D04" w14:textId="0EB001CC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  <w:t xml:space="preserve">Nowe </w:t>
            </w:r>
            <w:r w:rsidR="00E26A4D" w:rsidRPr="002667F9"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667F9"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  <w:t>wskazania onkologiczne</w:t>
            </w:r>
          </w:p>
        </w:tc>
      </w:tr>
      <w:tr w:rsidR="00816802" w:rsidRPr="002667F9" w14:paraId="4ECF3EF6" w14:textId="77777777" w:rsidTr="00C64949">
        <w:trPr>
          <w:cantSplit/>
          <w:trHeight w:val="19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AF85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43C8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078D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713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9965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21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841E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 xml:space="preserve">Nazwa programu lekowego / </w:t>
            </w:r>
          </w:p>
          <w:p w14:paraId="6402573A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Załącznika chemioterapii</w:t>
            </w:r>
          </w:p>
        </w:tc>
        <w:tc>
          <w:tcPr>
            <w:tcW w:w="165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2E3A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004386" w:rsidRPr="002667F9" w14:paraId="248583B6" w14:textId="77777777" w:rsidTr="00004386">
        <w:trPr>
          <w:cantSplit/>
          <w:trHeight w:val="85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26D7" w14:textId="77898C6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CA97" w14:textId="35CE8BC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 + Yervoy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DD71" w14:textId="4FD46AB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 + ipilimumab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290B" w14:textId="230ED52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618A" w14:textId="0B134D5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BD1B" w14:textId="7E8B1A8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w II albo III albo IV albo V linii chorych na zaawansowanego raka jelita grubego z potwierdzoną niestabilnością mikrosatelitarną wysokiego stopnia (ang. MSI-H) lub zaburzeniami mechanizmów naprawy uszkodzeń DNA o typie niedopasowania (ang. dMMR) z wykorzystaniem substancji czynnej niwolumab w skojarzeniu z ipilimumabem.</w:t>
            </w:r>
          </w:p>
        </w:tc>
      </w:tr>
      <w:tr w:rsidR="00004386" w:rsidRPr="002667F9" w14:paraId="1CB92584" w14:textId="77777777" w:rsidTr="00004386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FBF5" w14:textId="72DD735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9E94" w14:textId="3986C7E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4C90" w14:textId="02AEB3D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FE04" w14:textId="033531C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A0CA" w14:textId="2AC3FC8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4E36" w14:textId="3BBCD32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w I linii chorych na zaawansowanego raka jelita grubego z potwierdzoną niestabilnością mikrosatelitarną wysokiego stopnia (ang. MSI-H) lub zaburzeniami mechanizmów naprawy uszkodzeń DNA o typie niedopasowania (ang. dMMR) z wykorzystaniem substancji czynnej pembrolizumab w monoterapii.</w:t>
            </w:r>
          </w:p>
        </w:tc>
      </w:tr>
      <w:tr w:rsidR="00004386" w:rsidRPr="002667F9" w14:paraId="193B4753" w14:textId="77777777" w:rsidTr="00004386">
        <w:trPr>
          <w:cantSplit/>
          <w:trHeight w:val="33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DF8F" w14:textId="349F862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9763E" w14:textId="55FE911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Imfinzi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2E20" w14:textId="2210B8C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durwalumab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3002" w14:textId="768CB40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80E9" w14:textId="0EE4652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4FBA" w14:textId="6B09BB4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w I linii chorych na drobnokomórkowego raka płuca z zastosowaniem durwalumabu (w skojarzeniu z pochodną platyny (cisplatyna lub karboplatyna) i etopozydem w fazie indukcji).</w:t>
            </w:r>
          </w:p>
        </w:tc>
      </w:tr>
      <w:tr w:rsidR="00004386" w:rsidRPr="002667F9" w14:paraId="044EEB5D" w14:textId="77777777" w:rsidTr="00004386">
        <w:trPr>
          <w:cantSplit/>
          <w:trHeight w:val="18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38F7" w14:textId="2DC431A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2B01" w14:textId="6B1D5DF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Tagrisso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A5F2" w14:textId="60A9A2C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ozymertynib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13EC" w14:textId="4222BC8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2ADD" w14:textId="661D0C9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29DD" w14:textId="03785D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po radykalnej resekcji guza u pacjentów z niedrobnokomórkowym rakiem płuca.</w:t>
            </w:r>
          </w:p>
        </w:tc>
      </w:tr>
      <w:tr w:rsidR="00004386" w:rsidRPr="002667F9" w14:paraId="45CA1288" w14:textId="77777777" w:rsidTr="00004386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945C" w14:textId="112049D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7605" w14:textId="3BA64D9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Tagrisso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8D88" w14:textId="75FB458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ozymertynib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93F1" w14:textId="49A807F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5000" w14:textId="0F0C012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0CD4" w14:textId="5A9450E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III i kolejnych linii niedrobnokomórkowego raka płuca u pacjentów z potwierdzoną obecnością mutacji T790M w genie EGFR.</w:t>
            </w:r>
          </w:p>
        </w:tc>
      </w:tr>
      <w:tr w:rsidR="00004386" w:rsidRPr="002667F9" w14:paraId="2ECFFB00" w14:textId="77777777" w:rsidTr="00C64949">
        <w:trPr>
          <w:cantSplit/>
          <w:trHeight w:val="102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A77F" w14:textId="1117552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B12B" w14:textId="06F0F98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Libtayo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862E" w14:textId="65A06AD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cemiplimab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5819" w14:textId="4E46AF6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7234" w14:textId="6E59063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F46E" w14:textId="684F443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 linii w monoterapii pacjentów z rozsianym niedrobnokomórkowym rakiem płuca o wysokiej ekspresji PD-L1 (Pd-L1 </w:t>
            </w:r>
            <w:r w:rsidRPr="00004386">
              <w:rPr>
                <w:rFonts w:ascii="Cambria Math" w:hAnsi="Cambria Math" w:cs="Cambria Math"/>
                <w:color w:val="000000"/>
                <w:sz w:val="18"/>
                <w:szCs w:val="18"/>
              </w:rPr>
              <w:t>⩾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50%).</w:t>
            </w:r>
          </w:p>
        </w:tc>
      </w:tr>
      <w:tr w:rsidR="00004386" w:rsidRPr="002667F9" w14:paraId="2693D9E7" w14:textId="77777777" w:rsidTr="00004386">
        <w:trPr>
          <w:cantSplit/>
          <w:trHeight w:val="50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979D" w14:textId="484DBA4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5115" w14:textId="43F8D7A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Tecentriq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4D72" w14:textId="3C76348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atezolizumab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FECE" w14:textId="08C2E08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105C" w14:textId="6874C6B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65FF" w14:textId="62F91F7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 linii w monoterapii pacjentów z rozsianym niedrobnokomórkowym rakiem płuca o wysokiej ekspresji PD-L1 (Pd-L1 </w:t>
            </w:r>
            <w:r w:rsidRPr="00004386">
              <w:rPr>
                <w:rFonts w:ascii="Cambria Math" w:hAnsi="Cambria Math" w:cs="Cambria Math"/>
                <w:color w:val="000000"/>
                <w:sz w:val="18"/>
                <w:szCs w:val="18"/>
              </w:rPr>
              <w:t>⩾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50%).</w:t>
            </w:r>
          </w:p>
        </w:tc>
      </w:tr>
      <w:tr w:rsidR="00004386" w:rsidRPr="002667F9" w14:paraId="045D80D5" w14:textId="77777777" w:rsidTr="00C64949">
        <w:trPr>
          <w:cantSplit/>
          <w:trHeight w:val="97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DED2" w14:textId="5B249C1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EE75" w14:textId="0A3829A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Rozlytrek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0C58" w14:textId="27A2282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entrektynib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5FF7" w14:textId="372B542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51F5" w14:textId="6CD3F78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0BEF" w14:textId="1ACCBD5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 lub II linii niedrobnokomórkowego raka płuc u pacjentów z fuzją genu ROS-1 (chorzy z niepowodzeniem wcześniejszej chemioterapii).</w:t>
            </w:r>
          </w:p>
        </w:tc>
      </w:tr>
      <w:tr w:rsidR="00004386" w:rsidRPr="002667F9" w14:paraId="5F9B6B42" w14:textId="77777777" w:rsidTr="008B21D7">
        <w:trPr>
          <w:cantSplit/>
          <w:trHeight w:val="69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16EA" w14:textId="4371FFC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D6F1" w14:textId="3B8828F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 + Yervoy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9D69" w14:textId="71976ED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 + ipilimumab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B862" w14:textId="1449661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6F61" w14:textId="2BA6FCA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A5AB" w14:textId="40367B9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 linii niedrobnokomórkowego raka płuca u pacjentów</w:t>
            </w:r>
            <w:r w:rsidRPr="00004386">
              <w:rPr>
                <w:rFonts w:ascii="Lato" w:hAnsi="Lato"/>
                <w:sz w:val="18"/>
                <w:szCs w:val="18"/>
              </w:rPr>
              <w:t xml:space="preserve"> 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z ekspresją PD-L1 &lt; 50% z zastosowaniem w skojarzeniu niwolumabu i ipilimumabu w połączeniu z dwoma cyklami chemioterapii.</w:t>
            </w:r>
          </w:p>
        </w:tc>
      </w:tr>
      <w:tr w:rsidR="00004386" w:rsidRPr="002667F9" w14:paraId="34F09147" w14:textId="77777777" w:rsidTr="008B21D7">
        <w:trPr>
          <w:cantSplit/>
          <w:trHeight w:val="79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B085" w14:textId="5E0FF1F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CD95" w14:textId="053108A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 + Yervoy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C337" w14:textId="4526E27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niwolumab + ipilimumab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F903" w14:textId="5EDD6F9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AE5F" w14:textId="1D8B778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5AE3" w14:textId="0A74A12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 linii pacjentów chorych na nieoperacyjnego złośliwego międzybłoniaka opłucnej niwolumabem w skojarzeniu z ipilimumabem.</w:t>
            </w:r>
          </w:p>
        </w:tc>
      </w:tr>
      <w:tr w:rsidR="00004386" w:rsidRPr="002667F9" w14:paraId="3F773586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EB11" w14:textId="24C21B4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A88C" w14:textId="2327E89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Lorviqua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AD46" w14:textId="4D12B96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lorlatynib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0290" w14:textId="625F885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27A0" w14:textId="05FF8A3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1E40" w14:textId="37653FE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 linia leczenia pacjentów z NDRP z mutacją w genie ALK (chorzy wcześniej nie poddawani systemowemu leczeniu z powodu zaawansowanego nowotworu).</w:t>
            </w:r>
          </w:p>
        </w:tc>
      </w:tr>
      <w:tr w:rsidR="00004386" w:rsidRPr="002667F9" w14:paraId="2635A340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80C8" w14:textId="459DFD8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3893" w14:textId="42528E4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Lumykras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108F" w14:textId="7428836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sotorasib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F76C" w14:textId="5145987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A9EE" w14:textId="75F7519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C2B6" w14:textId="2C02F75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II lub kolejne linie leczenia pacjentów z NDRP z mutacją G12C w genie KRAS po niepowodzeniu co najmniej jednej wcześniejszej linii leczenia systemowego.</w:t>
            </w:r>
          </w:p>
        </w:tc>
      </w:tr>
      <w:tr w:rsidR="00004386" w:rsidRPr="002667F9" w14:paraId="7AB11D7A" w14:textId="77777777" w:rsidTr="00F83F44">
        <w:trPr>
          <w:cantSplit/>
          <w:trHeight w:val="2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9FD0" w14:textId="5914632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D6F1" w14:textId="08D6748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Tecentriq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9000" w14:textId="26414F4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atezolizumab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2F89" w14:textId="328B811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706B" w14:textId="2CE4BDA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5D97" w14:textId="5E4B94A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adjuwantowe po całkowitej resekcji i chemioterapii opartej na związkach platyny u dorosłych pacjentów z NDRP o wysokim ryzyku wystąpienia nawrotu, u których w tkance nowotworowej ekspresja PD-L1 wynosi ≥50% na komórkach guza.</w:t>
            </w:r>
          </w:p>
        </w:tc>
      </w:tr>
      <w:tr w:rsidR="00004386" w:rsidRPr="002667F9" w14:paraId="6E637C2C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5B8C" w14:textId="7E2DE9E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D1B7" w14:textId="170DB3B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3ABE" w14:textId="03B4E61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35A8" w14:textId="4DEC2CC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556F" w14:textId="787E335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5046" w14:textId="1C839BA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pembrolizumabem w skojarzeniu z chemioterapią jako leczenie przedoperacyjne (neoadjuwantowe) i kontynuacja pembrolizumabu jako leczenie pooperacyjne (adjuwantowe) po zabiegu chirurgicznym u chorych na potrójnie ujemnego raka piersi miejscowo zaawansowanego lub we wczesnym stadium z dużym ryzykiem nawrotu.</w:t>
            </w:r>
          </w:p>
        </w:tc>
      </w:tr>
      <w:tr w:rsidR="00004386" w:rsidRPr="002667F9" w14:paraId="6DC80542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FB72" w14:textId="4273F97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15.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0C93" w14:textId="7FF6CE1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13CE" w14:textId="3A4D880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ACB7" w14:textId="4B681A3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AB05" w14:textId="73C3314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9DAF" w14:textId="22468DE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pembrolizumabem przerzutowego potrójnie ujemnego raka piersi z ekspresją PD-L1 w skojarzeniu z paklitakselem albo z gemcytabiną i karboplatyną (pierwsza linia leczenia). Do leczenia kwalifikowani są pacjenci, u których stwierdzono brak wcześniejszego farmakologicznego leczenia systemowego nieoperacyjnego lub przerzutowego potrójnie ujemnego raka piersi, przy czym za leczenie systemowe nie uznaje się wcześniejszej terapii z założeniem radykalnym zakończonej w okresie powyżej 6 miesięcy. Zastosowanie terapii nie jest możliwe po wcześniejszym zastosowaniu immunoterapii pembrolizumabem w leczeniu okołooperacyjnym.</w:t>
            </w:r>
          </w:p>
        </w:tc>
      </w:tr>
      <w:tr w:rsidR="00004386" w:rsidRPr="002667F9" w14:paraId="20D06339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0AE0" w14:textId="7637533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DE03" w14:textId="07BF467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Tukysa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DA20" w14:textId="4FFF11C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tukatynib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F0F2" w14:textId="075900B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1601" w14:textId="7C7E348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1702" w14:textId="10B18E5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tukatynibem w skojarzeniu z trastuzumabem i kapecytabiną w trzeciej lub czwartej linii leczenia, a w drugiej tylko w przypadku, gdy w pierwszej linii stosowano trastuzumab +/- pertuzumab albo trastuzumab emtanzyna oraz występują przerzuty do ośrodkowego układu nerwowego. Podanie tukatynibu wymaga zastosowania wcześniej co najmniej jednej linii paliatywnej terapii anty-HER2.</w:t>
            </w:r>
          </w:p>
        </w:tc>
      </w:tr>
      <w:tr w:rsidR="00004386" w:rsidRPr="002667F9" w14:paraId="142C482A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FB16" w14:textId="4380CCF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591B" w14:textId="65A93D0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Enhertu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19AF" w14:textId="2898215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trastuzumab derukstekan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FCE1" w14:textId="6F431B7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2752" w14:textId="7C813B1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4EA1" w14:textId="04C47DE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II lub III lub IV linii chorych z powodu nieoperacyjnego lub zaawansowanego HER2-dodatniego raka piersi  po zastosowaniu co najmniej jednej linii terapii anty-HER2.</w:t>
            </w:r>
          </w:p>
        </w:tc>
      </w:tr>
      <w:tr w:rsidR="00004386" w:rsidRPr="002667F9" w14:paraId="7F1B4CC5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2790" w14:textId="3F43BAA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B4A6" w14:textId="011EE8B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2F62" w14:textId="19D1F67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655E" w14:textId="26E8179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ABC7" w14:textId="30DE706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C8F5" w14:textId="608A445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chorych z germinalnymi mutacjami BRCA1/2, u których występuje hormonozależny HER2-ujemny lub potrójnie ujemny wczesny rak piersi wysokiego ryzyka, leczony wcześniej chemioterapią neoadjuwantową lub adjuwantową.</w:t>
            </w:r>
          </w:p>
        </w:tc>
      </w:tr>
      <w:tr w:rsidR="00004386" w:rsidRPr="002667F9" w14:paraId="27A4834A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882A" w14:textId="245B945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79C5" w14:textId="336CB2E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2B20" w14:textId="6C1842A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12B6" w14:textId="79C1C85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B0C6" w14:textId="1A30DE4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81E9" w14:textId="5FCBDD5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II lub III linii przerzutowego lub miejscowo zaawansowanego hormonozależnego HER2-ujemnego raka piersi z obecnością mutacji germinalnych w genach BRCA1/2, po uprzednim zastosowaniu hormonoterapii z lub bez inhibitorów CDK4/6 w leczeniu paliatywnym (dopuszczalne jest wcześniejsze stosowanie 1-2 linii chemioterapii paliatywnej lub chemioterapii okołooperacyjnej z udziałem antracykliny i taksoidu i 1 linii chemioterapii paliatywnej).</w:t>
            </w:r>
          </w:p>
        </w:tc>
      </w:tr>
      <w:tr w:rsidR="00004386" w:rsidRPr="002667F9" w14:paraId="1470707A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B0DA" w14:textId="6856D65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20.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8CDC" w14:textId="2AF788D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C2D0" w14:textId="754923A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89F2B" w14:textId="11E89F9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B.9.FM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2D55" w14:textId="243E73F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E142" w14:textId="0AF4837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 lub II lub III linii przerzutowego lub miejscowo zaawansowanego potrójnie ujemnego raka piersi z obecnością mutacji germinalnych w genach BRCA 1/2, gdy leczenie miejscowe jest nieskuteczne lub niemożliwe do zastosowania pacjenci musieli otrzymać wcześniej chemioterapię zawierającą taksoid lub antracyklinę w leczeniu okołooperacyjnym lub paliatywnym (dopuszczalne jest wcześniejsze stosowanie nie więcej niż 2 linii chemioterapii paliatywnej lub chemioterapii okołooperacyjnej i 1 linii chemioterapii paliatywnej).</w:t>
            </w:r>
          </w:p>
        </w:tc>
      </w:tr>
      <w:tr w:rsidR="00004386" w:rsidRPr="002667F9" w14:paraId="1E3119B4" w14:textId="77777777" w:rsidTr="00F83F44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7125" w14:textId="666A012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5CA1" w14:textId="121AC75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4B33" w14:textId="285DF6D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E501" w14:textId="37D3BD0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B.10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2C69" w14:textId="5108438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NERKI (ICD-10: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971D7" w14:textId="4512BD6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adjuwantowe po zabiegu nefrektomii u dorosłych pacjentów z rakiem nerki.</w:t>
            </w:r>
          </w:p>
        </w:tc>
      </w:tr>
      <w:tr w:rsidR="00004386" w:rsidRPr="002667F9" w14:paraId="2EC123C2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5367" w14:textId="0BBA1EF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561B" w14:textId="42A1A4C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Tecartus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32C9" w14:textId="4E3AB72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breksukabtagen autoleucel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0EDA" w14:textId="3D91966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A61F" w14:textId="1544E17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599C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III lub kolejne linie leczenia terapią CAR-T (breksukabtagen autoleucel) u dorosłych pacjentów z opornym lub nawrotowym chłoniakiem z komórek płaszcza (MCL), którzy uprzednio otrzymali co najmniej dwie linie leczenia systemowego, w tym inhibitor kinazy tyrozynowej Brutona.</w:t>
            </w:r>
          </w:p>
          <w:p w14:paraId="17C7451C" w14:textId="77777777" w:rsidR="006E21D3" w:rsidRDefault="006E21D3" w:rsidP="006E21D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(TLI - Technologia lekowa o wysokim stopniu innowacyjności) </w:t>
            </w:r>
          </w:p>
          <w:p w14:paraId="27B6E6CE" w14:textId="6220DBFC" w:rsidR="00004386" w:rsidRPr="00F83F44" w:rsidRDefault="00004386" w:rsidP="00F83F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2E9F8B19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3F34" w14:textId="7E41AFC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6A48" w14:textId="1496486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Minjuvi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356E" w14:textId="6464E32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tafasytamab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9EBF" w14:textId="0D6AFE1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BA70" w14:textId="5CA1ED8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3618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tafasytamabem w skojarzeniu z lenalidomidem dorosłych chorych na opornego/nawrotowego chłoniaka rozlanego z dużych komórek B (DLBCL), niekwalifikujących się do przeszczepienia autologicznych krwiotwórczych komórek macierzystych.</w:t>
            </w:r>
          </w:p>
          <w:p w14:paraId="618839EA" w14:textId="77777777" w:rsid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(TLI - Technologia lekowa o wysokim stopniu innowacyjności) </w:t>
            </w:r>
          </w:p>
          <w:p w14:paraId="2A16253E" w14:textId="2451647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4018EB12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D1E1" w14:textId="390085C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7D87" w14:textId="5026A2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Imbruvica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8740" w14:textId="753390E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ibrutynib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689B" w14:textId="564C1BA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F1A7" w14:textId="40CCE49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BE1E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ibrutynibem w monoterapii dorosłych chorych na opornego/nawrotowego chłoniaka z komórek płaszcza (MCL).</w:t>
            </w:r>
          </w:p>
          <w:p w14:paraId="2C0E6A83" w14:textId="0D0C340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7A97B4A4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99D1" w14:textId="64184D0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25.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CC27" w14:textId="3648AD3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Scemblix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DD38" w14:textId="1D29B44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asciminib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7A4C" w14:textId="63F5E27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7DFE" w14:textId="6AFD741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SZPIKOWĄ (ICD-10: C92.1)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DBDF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asciminibem dorosłych chorych na przewlekłą białaczkę szpikową od III linii leczenia, po uprzednim leczeniu przynajmniej dwoma inhibitorami kinazy tyrozynowej, po których wystąpiła nietolerancja lub niepowodzenie leczenia.</w:t>
            </w:r>
          </w:p>
          <w:p w14:paraId="38323E95" w14:textId="170EA5F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23F7C9E5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94C" w14:textId="1350C2F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26.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1807" w14:textId="5FA53BB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Sarclisa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DA247" w14:textId="60F00EE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izatuksymab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608D" w14:textId="74789BB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C423" w14:textId="51F9C51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03DB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izatuksymabem w skojarzeniu z pomalidomidem i deksametazonem (schemat IsaPd) od III linii leczenia dorosłych chorych na opornego lub nawrotowego szpiczaka plazmocytowego z niewydolnością nerek (RI), i u których w którymkolwiek z poprzedzających protokołów leczenia zastosowano lenalidomid i inhibitor proteasomu.</w:t>
            </w:r>
          </w:p>
          <w:p w14:paraId="61D42E0E" w14:textId="1F9FD61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7CAEA500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8D72" w14:textId="1C535B8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27.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32F7" w14:textId="51E592D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Kyprolis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24CB" w14:textId="6F4005F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karfilzomib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4B59" w14:textId="0630F0B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79BC" w14:textId="1E8EF08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206F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karfilzomibem w skojarzeniu z lenalidomidem i deksametazonem (schemat KRd) dorosłych chorych na opornego lub nawrotowego szpiczaka plazmocytowego w II-IV linii leczenia (tj. rozszerzenie dotychczas refundowanego wskazania w schemacie KRd).</w:t>
            </w:r>
          </w:p>
          <w:p w14:paraId="7B3A0A6B" w14:textId="48C23C8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02F3174F" w14:textId="77777777" w:rsidTr="00F83F44">
        <w:trPr>
          <w:cantSplit/>
          <w:trHeight w:val="119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8FE6" w14:textId="735AA05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28.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66CA" w14:textId="3757105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Darzalex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0D28" w14:textId="221B864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daratumumab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6CBB" w14:textId="015D7D9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1A6C" w14:textId="195493B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6769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 linii daratumumabem w skojarzeniu z bortezomibem, talidomidem i deksametazonem (schemat DVTd) dorosłych pacjentów z uprzednio nieleczonym szpiczakiem plazmocytowym (I linia leczenia), kwalifikujących się do leczenia chemioterapią wysokodawkową z przeszczepieniem autologicznych krwiotwórczych komórek macierzystych.</w:t>
            </w:r>
          </w:p>
          <w:p w14:paraId="1EB78EEF" w14:textId="69930D1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6302BDAC" w14:textId="77777777" w:rsidTr="00C64949">
        <w:trPr>
          <w:cantSplit/>
          <w:trHeight w:val="103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3054" w14:textId="021D759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29.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D0B2" w14:textId="496B404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Darzalex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0FC3" w14:textId="328D610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daratumumab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702C" w14:textId="74CFE15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3B00" w14:textId="6605CA3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4539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daratumumabem w skojarzeniu z bortezomibem i deksametazonem (schemat DVd) w II-IV linii leczenia dorosłych chorych na opornego lub nawrotowego szpiczaka plazmocytowego, u których nie stwierdzono oporności na leczenie bortezomibem. </w:t>
            </w:r>
          </w:p>
          <w:p w14:paraId="220B59C0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(Rozszerzenie aktualnie refundowanego wskazania)</w:t>
            </w:r>
          </w:p>
          <w:p w14:paraId="2D2441F2" w14:textId="287EDD8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0CFAB685" w14:textId="77777777" w:rsidTr="00F83F44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6ABD" w14:textId="71660DC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CD24" w14:textId="2604BE5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Darzalex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E147" w14:textId="1F07AC1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daratumumab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3CBA" w14:textId="2073206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A6E6" w14:textId="513FA15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C99E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daratumumabem w skojarzeniu z lenalidomidem i deksametazonem (schemat DRd) w II-IV linii leczenia dorosłych chorych na opornego lub nawrotowego szpiczaka plazmocytowego.</w:t>
            </w:r>
          </w:p>
          <w:p w14:paraId="0F88C503" w14:textId="186F6B6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02A7B50D" w14:textId="77777777" w:rsidTr="00F83F44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D676" w14:textId="6ABE1FD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1AA7" w14:textId="0578CA7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Empliciti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2B79" w14:textId="05FC85A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elotuzumab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A48" w14:textId="7BAF0B6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CDE9" w14:textId="7BC1DBE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1C75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elotuzumabem w skojarzeniu z pomalidomidem i deksametazonem (schemat EloPd) od III linii leczenia dorosłych chorych na opornego lub nawrotowego szpiczaka plazmocytowego.</w:t>
            </w:r>
          </w:p>
          <w:p w14:paraId="32FF2E80" w14:textId="12D9868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7CA3C681" w14:textId="77777777" w:rsidTr="00C64949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795B" w14:textId="1AD8AB9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696E" w14:textId="2A65B06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84D6" w14:textId="1A2D2C8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0AD1" w14:textId="5211C0A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BE2F" w14:textId="0E17EA4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C4C7" w14:textId="4683A76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w II albo III linii chorych na opornego na kastrację raka gruczołu krokowego po progresji choroby podczas terapii lekiem hormonalnym nowej generacji oraz obecnością patogennej lub prawdopodobnie patogennej mutacji (germinalnej lub somatycznej) w genie BRCA1 lub BRCA2.</w:t>
            </w:r>
          </w:p>
        </w:tc>
      </w:tr>
      <w:tr w:rsidR="00004386" w:rsidRPr="002667F9" w14:paraId="329870B3" w14:textId="77777777" w:rsidTr="00F83F44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0A7E" w14:textId="053A841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6AF4" w14:textId="43BA96D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Erleada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CAB0" w14:textId="683A010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apalutamid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96AF" w14:textId="1445A57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7BC2" w14:textId="4EE868E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A68F" w14:textId="450CDD4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w I linii chorych na wrażliwego na kastrację raka gruczołu krokowego o małym obciążeniu przerzutami (z ang. low volume disease).</w:t>
            </w:r>
          </w:p>
        </w:tc>
      </w:tr>
      <w:tr w:rsidR="00004386" w:rsidRPr="002667F9" w14:paraId="0E7845A7" w14:textId="77777777" w:rsidTr="00C64949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700B" w14:textId="30EA127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1289" w14:textId="1992B11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Cabazitaxel Ever Pharma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08FA" w14:textId="2BA051D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kabazytaksel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5EB8" w14:textId="40715FF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BB5F" w14:textId="587AF73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EF2B" w14:textId="006B088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w I albo II albo III linii chorych na opornego na kastrację raka gruczołu krokowego z przerzutami kabazytakselem, leczonych wcześniej docetakselem.</w:t>
            </w:r>
          </w:p>
        </w:tc>
      </w:tr>
      <w:tr w:rsidR="00004386" w:rsidRPr="002667F9" w14:paraId="5356A094" w14:textId="77777777" w:rsidTr="00C64949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BE0D" w14:textId="1ED41EB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B8A4" w14:textId="2533973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1CBA" w14:textId="473DB15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111C5" w14:textId="24CA169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7256" w14:textId="77D159E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PRZEŁYKU I ŻOŁĄDKA (ICD-10: C15-C16)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F074" w14:textId="3572AB7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w I linii chorych </w:t>
            </w:r>
            <w:bookmarkStart w:id="0" w:name="_Hlk90641900"/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na miejscowo zaawansowanego raka przełyku nieoperacyjnego lub z przerzutami, lub HER-2 ujemnego gruczolakoraka połączenia przełykowo-żołądkowego</w:t>
            </w:r>
            <w:bookmarkEnd w:id="0"/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wykorzystaniem substancji czynnej pembrolizumab </w:t>
            </w:r>
            <w:bookmarkStart w:id="1" w:name="_Hlk89686969"/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w skojarzeniu z chemioterapią zawierającą pochodną platyny i fluoropirymidynę</w:t>
            </w:r>
            <w:bookmarkEnd w:id="1"/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04386" w:rsidRPr="002667F9" w14:paraId="43829E09" w14:textId="77777777" w:rsidTr="00C64949">
        <w:trPr>
          <w:cantSplit/>
          <w:trHeight w:val="14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651D" w14:textId="4AAB8CD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D73D" w14:textId="7CF99DF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007F" w14:textId="0F2EA6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0F7" w14:textId="0BB4D58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EBA1" w14:textId="336FB17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464C" w14:textId="5EF923B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adjuwantowe niwolumabem w monoterapii dorosłych pacjentów z rakiem przełyku (płaskonabłonkowym lub gruczołowym) lub połączenia żołądkowo-przełykowego, z chorobą resztkową, po wcześniejszej chemioradioterapii neoadjuwantowej.</w:t>
            </w:r>
          </w:p>
        </w:tc>
      </w:tr>
      <w:tr w:rsidR="00004386" w:rsidRPr="002667F9" w14:paraId="6EDFA7EC" w14:textId="77777777" w:rsidTr="00C64949">
        <w:trPr>
          <w:cantSplit/>
          <w:trHeight w:val="14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59F8" w14:textId="324670E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lastRenderedPageBreak/>
              <w:t>37.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654B" w14:textId="16DCD1E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E527" w14:textId="306CF59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1390" w14:textId="5F15781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41AC" w14:textId="55AC0D7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2C77" w14:textId="448CD67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 linia leczenia niwolumabem w skojarzeniu z chemioterapią skojarzoną opartą na fluoropirymidynie (5FU) i pochodnej platyny (oksaliplatynie lub kapecytabinie - według schematu CAPOX lub FOLFOX) dorosłych pacjentów z HER2-ujemnym zaawansowanym lub przerzutowym gruczolakorakiem przełyku, połączenia żołądkowo-przełykowego lub żołądka z ekspresją PD-L1 wg skali CPS ≥ 5.</w:t>
            </w:r>
          </w:p>
        </w:tc>
      </w:tr>
      <w:tr w:rsidR="00004386" w:rsidRPr="002667F9" w14:paraId="05B3561F" w14:textId="77777777" w:rsidTr="00C64949">
        <w:trPr>
          <w:cantSplit/>
          <w:trHeight w:val="14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A693" w14:textId="5365A66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39E1" w14:textId="6A0D277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Opdivo + Yervoy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5CD5" w14:textId="15B0DB7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niwolumab + ipilimumab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2707" w14:textId="3CDF99F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149B" w14:textId="6922E56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48B6" w14:textId="7AC8B67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 linia leczenia niwolumabem w skojarzeniu z chemioterapią zawierającą fluoropirymidynę i pochodną platyny albo z ipilimumabem dorosłych pacjentów z zaawansowanym nieoperacyjnym, nawrotowym lub przerzutowym płaskonabłonkowym rakiem przełyku z ekspresją PD-L1 ≥ 1%.</w:t>
            </w:r>
          </w:p>
        </w:tc>
      </w:tr>
      <w:tr w:rsidR="00004386" w:rsidRPr="002667F9" w14:paraId="18F7CD5A" w14:textId="77777777" w:rsidTr="00C64949">
        <w:trPr>
          <w:cantSplit/>
          <w:trHeight w:val="14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E7E9" w14:textId="7DAEAE5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38.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909D" w14:textId="010C65E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Lonsurf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AF00" w14:textId="53ADCF7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triflurydyna + typiracyl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7647" w14:textId="4DFC064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757B" w14:textId="588AC4F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DAE8" w14:textId="5EB3F1E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III linia leczenia triflurydyną z typiracylem pacjentów z gruczolakorakiem żołądka lub połączenia żołądkowo-przełykowego w stadium uogólnionym, u których udokumentowano nieskuteczność dwóch wcześniejszych standardowych schematów leczenia choroby zaawansowanej, w tym obejmujących fluoropirymidynę, platynę i taksany lub irynotekan.</w:t>
            </w:r>
          </w:p>
        </w:tc>
      </w:tr>
      <w:tr w:rsidR="00004386" w:rsidRPr="002667F9" w14:paraId="29F0788A" w14:textId="77777777" w:rsidTr="00F83F44">
        <w:trPr>
          <w:cantSplit/>
          <w:trHeight w:val="15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ADAD" w14:textId="669CD47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BC77" w14:textId="3E0BA51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Adcetris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C2F4" w14:textId="5FC9435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brentuksymab vedotin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B414" w14:textId="6F5E652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3646" w14:textId="11DF6E2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T-KOMÓRKOWE (ICD-10: C84)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2E34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brentuksymabem vedotin w skojarzeniu z cyklofosfamidem, doksorubicyną i prednizonem (CHP) w I linii leczenia dorosłych chorych na 13.układowego chłoniaka anaplastycznego z dużych komórek (sALCL).</w:t>
            </w:r>
          </w:p>
          <w:p w14:paraId="38F4FF3C" w14:textId="5A035EC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(Choroba rzadka)</w:t>
            </w:r>
          </w:p>
        </w:tc>
      </w:tr>
      <w:tr w:rsidR="00004386" w:rsidRPr="002667F9" w14:paraId="53519397" w14:textId="77777777" w:rsidTr="00F83F44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9579" w14:textId="2CCC8CF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1F6C" w14:textId="4E57C29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Imbruvica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2B42" w14:textId="17D22EC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ibrutynib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3F38" w14:textId="135BD8A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22AF" w14:textId="19600C4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6527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ibrutynibem w monoterapii w I linii leczenia dorosłych chorych na przewlekłą białaczkę limfocytową z delecją 17p (del17p) / mutacją w genie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niezmutowanym statusem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IgHV.</w:t>
            </w:r>
          </w:p>
          <w:p w14:paraId="1AB9572A" w14:textId="4D693CB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1857779B" w14:textId="77777777" w:rsidTr="00C64949">
        <w:trPr>
          <w:cantSplit/>
          <w:trHeight w:val="152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0D2E" w14:textId="1D87446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8B55" w14:textId="594B377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Imbruvica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0BC0" w14:textId="359C655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ibrutynib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B6B6" w14:textId="00AD5CA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6EF6" w14:textId="10660BC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88AA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ibrutynibem w monoterapii od II linii leczenia dorosłych chorych na oporną lub nawrotową przewlekłą białaczkę limfocytową, bez względu na status delecji 17p (del17p) / mutacji w genie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352DC484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(Rozszerzenie aktualnie refundowanego wskazania dla pacjentów bez delecji 17p (del17p) / mutacji w genie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))</w:t>
            </w:r>
          </w:p>
          <w:p w14:paraId="06E19D2D" w14:textId="37D8BED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2FCB8661" w14:textId="77777777" w:rsidTr="008B21D7">
        <w:trPr>
          <w:cantSplit/>
          <w:trHeight w:val="127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C929" w14:textId="7E9911F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lastRenderedPageBreak/>
              <w:t>43.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F040" w14:textId="111F05F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Calquence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B697" w14:textId="6E35B5B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akalabrutynib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BBEA" w14:textId="15C77A5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B98E" w14:textId="30FE17A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BC50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akalabrutynibem w monoterapii w I linii leczenia dorosłych chorych na przewlekłą białaczkę limfocytową z delecją 17p (del17p) / mutacją w genie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niezmutowanym statusem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IgHV.</w:t>
            </w:r>
          </w:p>
          <w:p w14:paraId="54A7433E" w14:textId="61EAFD9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3E334ABB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FD73" w14:textId="2B1CFC9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DFD2" w14:textId="0F0F49F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Calquence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A3A" w14:textId="589681B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akalabrutynib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1BDE" w14:textId="20ACF3A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E15A" w14:textId="3FD3C88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C174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akalabrutynibem w monoterapii od II linii leczenia dorosłych chorych na oporną lub nawrotową przewlekłą białaczkę limfocytową z delecją 17p (del17p) / mutacją w genie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oraz dorosłych chorych na oporną lub nawrotową przewlekłą białaczkę limfocytową bez delecji 17p (del17p) / mutacji w genie 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TP53)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, po wcześniejszym leczeniu wenetoklaksem w skojarzeniu z przeciwciałem anty-CD20 lub w przypadku przeciwwskazań do zastosowania wenetoklaksu z przeciwciałem anty-CD20.</w:t>
            </w:r>
          </w:p>
          <w:p w14:paraId="0B28FB09" w14:textId="0FCA53E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4D7191B0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6F5A" w14:textId="1212BD3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9442" w14:textId="259CA8A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Jakavi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7A2D" w14:textId="05FFC63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ruksolitynib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CDCA" w14:textId="4064363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961F" w14:textId="5F81076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NOWOTWORY MIELOPROLIFERACYJNE 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Ph (-) (ICD-10: D45, D47.1)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5E1F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ruksolitynibem dorosłych chorych na czerwienicę prawdziwą z grupy wysokiego ryzyka, z opornością lub nietolerancją na leczenie hydroksymocznikiem.</w:t>
            </w:r>
          </w:p>
          <w:p w14:paraId="653C1800" w14:textId="3355CBB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4FE6FE57" w14:textId="77777777" w:rsidTr="00F83F44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767B" w14:textId="73F0CB3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2A6B" w14:textId="14CC784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Libtayo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2DA0" w14:textId="032DFE2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cemiplimab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3C8C" w14:textId="167BDBE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B.88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B680" w14:textId="28B046E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CHORYCH NA RAKA </w:t>
            </w:r>
            <w:r w:rsidRPr="00004386">
              <w:rPr>
                <w:rFonts w:ascii="Lato" w:hAnsi="Lato" w:cstheme="majorHAnsi"/>
                <w:sz w:val="18"/>
                <w:szCs w:val="18"/>
              </w:rPr>
              <w:t>PODSTAWNOKOMÓRKOWEGO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SKÓRY (ICD-10: C44)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3F37" w14:textId="0D9CBA7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cemiplimabem w II linii leczenia, u pacjentów, u których nastąpiła progresja choroby lub nietolerancja w trakcie terapii inhibitorem szlaku Hedgehog.</w:t>
            </w:r>
          </w:p>
        </w:tc>
      </w:tr>
      <w:tr w:rsidR="00004386" w:rsidRPr="002667F9" w14:paraId="5949341F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1BF66" w14:textId="77B071E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68F9" w14:textId="5B09404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Retsevmo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E5C8" w14:textId="0CF329E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selpercetynib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14E0" w14:textId="679A408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B.108.FM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D2CE" w14:textId="23AB5AA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RDZENIASTYM TARCZYCY (ICD-10: C73)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AFE8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II linia leczenia pacjentów z zaawansowanym rakiem rdzeniastym tarczycy z obecnością fuzji genu RET, którzy wymagają terapii systemowej po wcześniejszym leczeniu wandetanibem lub kabozantynibem.</w:t>
            </w:r>
          </w:p>
          <w:p w14:paraId="2D0E2AC8" w14:textId="138C0EA7" w:rsid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 - Technologia lekowa o wysokim stopniu innowacyjności)</w:t>
            </w:r>
          </w:p>
          <w:p w14:paraId="74040538" w14:textId="7F1AE7E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6C6A9954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3FBE" w14:textId="470E162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lastRenderedPageBreak/>
              <w:t>48.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2887" w14:textId="50A99FE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Onureg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87FA" w14:textId="1668176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azacytydyna (postać doustna)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FDC" w14:textId="3256333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B.114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2CD2" w14:textId="2FF6ACC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LECZENIE CHORYCH NA OSTRĄ BIAŁACZKĘ SZPIKOWĄ (ICD-10: C92.0)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11AF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azacytydyną doustną w monoterapii dorosłych chorych na ostrą białaczkę szpikową w potwierdzonej pierwszej całkowitej remisji lub potwierdzonej remisji z niepełną regeneracją morfologii krwi po chemioterapii indukującej albo indukującej i konsolidującej.</w:t>
            </w:r>
          </w:p>
          <w:p w14:paraId="7D457370" w14:textId="0BC33EE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4EFDFD42" w14:textId="77777777" w:rsidTr="00F83F44">
        <w:trPr>
          <w:cantSplit/>
          <w:trHeight w:val="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E5E" w14:textId="0275171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536644">
              <w:rPr>
                <w:rFonts w:ascii="Lato" w:hAnsi="Lato" w:cstheme="majorHAnsi"/>
                <w:sz w:val="18"/>
                <w:szCs w:val="18"/>
              </w:rPr>
              <w:t>49.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71FA" w14:textId="0A27F43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57E4" w14:textId="39CFC2E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9807" w14:textId="7275269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B.141.FM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01FC" w14:textId="1355F5F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UROTELIALNYM (ICD-10: C61, C65, C66, C67, C68)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F849" w14:textId="63CA352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raka urotelialnego naciekającego błonę mięśniową u dorosłych z ekspresją PD-L1 na komórkach guza ≥ 1% i z wysokim ryzykiem nawrotu po radykalnej cystekomii z cechą R0.</w:t>
            </w:r>
          </w:p>
        </w:tc>
      </w:tr>
      <w:tr w:rsidR="00004386" w:rsidRPr="002667F9" w14:paraId="7533CB28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ACDB" w14:textId="37A44C7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1D36" w14:textId="5F67433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Padcev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5751" w14:textId="178A411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enfortumab wedotyny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88D5" w14:textId="2DF0CED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B.141.FM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1504" w14:textId="0A3C487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UROTELIALNYM (ICD-10: C61, C65, C66, C67, C68)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5A04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II lub III linii raka urotelialnego miejscowo zaawansowanego lub z przerzutami u dorosłych chorych, którzy otrzymali wcześniej chemioterapię opartą na pochodnych platyny i inhibitor receptora programowanej śmierci komórki 1 (PD-1) lub inhibitor ligandu programowanej śmierci komórki 1 (PD-L1) (nawrót choroby w okresie nie wcześniej niż 6 miesięcy od zakończenia leczenia I linii).</w:t>
            </w:r>
          </w:p>
          <w:p w14:paraId="693018C9" w14:textId="32EE170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 - Technologia lekowa o wysokim stopniu innowacyjności)</w:t>
            </w:r>
          </w:p>
        </w:tc>
      </w:tr>
      <w:tr w:rsidR="00004386" w:rsidRPr="002667F9" w14:paraId="74DF4845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AD9D" w14:textId="1CC3B6C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45932" w14:textId="01264E7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Vitrakvi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A1FD" w14:textId="359DE3A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larotrektynib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440D" w14:textId="053474F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451BB" w14:textId="4878C6A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GUZAMI LITYMI Z FUZJĄ GENU RECEPTOROWEJ KINAZY TYROZYNOWEJ DLA NEUROTROFIN (NTRK)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56D1" w14:textId="5C68FB9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z różnymi typami nowotworów litych, w przypadku których stwierdza się fuzję genu receptorowej kinazy tyrozynowej dla neurotrofin (NTRK). Leczenie dotyczy pacjentów z nowotworami w stadium miejscowo zaawansowanym lub przerzutowym, u których brak jest możliwości leczenia miejscowego lub jego podjęcie może doprowadzić do poważnych i niekorzystnych następstw zdrowotnych. Dodatkowo terapia jest wskazana w przypadkach wyczerpania innych możliwości oraz w przypadkach braku innych terapii o potwierdzonych korzyściach klinicznych w danym wskazaniu. Kwalifikacja do leczenia będzie przeprowadzana przez Zespół Koordynacyjny. </w:t>
            </w:r>
          </w:p>
        </w:tc>
      </w:tr>
      <w:tr w:rsidR="00004386" w:rsidRPr="002667F9" w14:paraId="4217AAAF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C17B" w14:textId="30D7607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7FC0" w14:textId="419E9CA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Rozlytrek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AA2B" w14:textId="7CEC2F4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entrectinib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D6B0" w14:textId="0BDF553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F813" w14:textId="11D6154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GUZAMI LITYMI Z FUZJĄ GENU RECEPTOROWEJ KINAZY TYROZYNOWEJ DLA NEUROTROFIN (NTRK)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F70A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Dodanie drugiego, obok larotrektynibu, leku z grupy inhibitorów kinaz tyrozynowych receptora tropomiozynowego do leczenia guzów litych z fuzją genu NTRK w programie.</w:t>
            </w:r>
          </w:p>
          <w:p w14:paraId="3739DE73" w14:textId="7C871CB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4386" w:rsidRPr="002667F9" w14:paraId="56367A51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04B9" w14:textId="2E82BFA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53.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F477" w14:textId="357AD18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Darzalex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491C" w14:textId="43C531D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daratumumab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5C68" w14:textId="7F15BA0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B.145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0C8C" w14:textId="7F8D9B5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LECZENIE CHORYCH NA UKŁADOWĄ AMYLOIDOZĘ ŁAŃCUCHÓW LEKKICH (AL) (ICD-10: E85.8)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56DB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daratumumabem w skojarzeniu z bortezomibem, cyklofosfamidem i deksametazonem (schemat D-VCd) w I linii leczenia dorosłych chorych na układową amyloidozę łańcuchów lekkich (AL).</w:t>
            </w:r>
          </w:p>
          <w:p w14:paraId="58AF3FFC" w14:textId="274A124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279F2845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1CFE" w14:textId="4321852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DE25" w14:textId="5FAD393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Brukinsa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FFD0" w14:textId="1377D42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zanubrutynib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A09B" w14:textId="7711F33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B.146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568B" w14:textId="06AB8CA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MAKROGLOBULINEMIĘ WALDENSTRÖMA (ICD-10: C88.0)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7ADE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zanubrutynibem w monoterapii dorosłych chorych na makroglobulinemię Waldenströma, wcześniej nieleczonych i niekwalifikujących się do immunochemioterapii albo po wcześniejszej co najmniej 1 linii leczenia.</w:t>
            </w:r>
          </w:p>
          <w:p w14:paraId="1A6ECC45" w14:textId="64598A3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2800FA37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7044" w14:textId="11D4105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9634" w14:textId="5441D43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Jemperli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16E4" w14:textId="7C78529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dostarlimab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060A" w14:textId="2F06808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B.148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85F8" w14:textId="277D316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ENDOMETRIUM (ICD-10 C54)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8137" w14:textId="08DC1F8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II linia leczenia pacjentek z nawrotowym lub zaawansowanym rakiem endometrium z upośledzeniem naprawy nieprawidłowo sparowanych nukleotydów (dMMR) lub wysoką niestabilnością mikrosatelitarną (MSI-H).</w:t>
            </w:r>
          </w:p>
        </w:tc>
      </w:tr>
      <w:tr w:rsidR="00004386" w:rsidRPr="002667F9" w14:paraId="69EB8F44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BFF5" w14:textId="16E7550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D45F" w14:textId="7FB1FD8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Jakavi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12D75" w14:textId="6A57A6B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ruksolitynib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BF64" w14:textId="3FA48F2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B.149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29A8" w14:textId="2715AE7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PRZESZCZEP PRZECIWKO GOSPODARZOWI (ICD-10: T86.0)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6533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ruksolitynibem pacjentów od 12 roku życia z ostrą lub przewlekłą chorobą przeszczep przeciwko gospodarzowi (GvHD) po przeszczepieniu allogenicznych krwiotwórczych komórek macierzystych i z niewystarczającą odpowiedzią na leczenie kortykosteroidami.</w:t>
            </w:r>
          </w:p>
          <w:p w14:paraId="091AF311" w14:textId="19DE181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67566343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4CD8" w14:textId="31A7C19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D36A" w14:textId="1DCBB6C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2DED" w14:textId="477E9FF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karboplatyna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9B37" w14:textId="5FCB7F0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C.6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56B6" w14:textId="1CD40CA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CARBOPLATIN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61A7E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Objęcie finasowaniem karboplatyny w nowotworach przełyku – wszystkie lokalizacje (ICD-10 C.15.) wraz z usunięciem dotychczasowego zawężenia wskazania.</w:t>
            </w:r>
          </w:p>
          <w:p w14:paraId="4AEC53C4" w14:textId="3563139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004386" w:rsidRPr="002667F9" w14:paraId="4E6CDAD7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815D" w14:textId="3C0A15E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8C54" w14:textId="4818A6A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2731" w14:textId="56F3CAE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gemcytabina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50E0" w14:textId="61BB94D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C.28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858F" w14:textId="7449302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/>
                <w:bCs/>
                <w:sz w:val="18"/>
                <w:szCs w:val="18"/>
              </w:rPr>
              <w:t>GEMCITABINE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34C9" w14:textId="77777777" w:rsidR="00004386" w:rsidRPr="00004386" w:rsidRDefault="00004386" w:rsidP="00004386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Rozszerzenie załącznika C.28 o wskazania pozarejestracyjne:</w:t>
            </w:r>
          </w:p>
          <w:p w14:paraId="399DD1EB" w14:textId="77777777" w:rsidR="00004386" w:rsidRPr="00004386" w:rsidRDefault="00004386" w:rsidP="00004386">
            <w:pPr>
              <w:pStyle w:val="Akapitzlist"/>
              <w:numPr>
                <w:ilvl w:val="0"/>
                <w:numId w:val="21"/>
              </w:num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C.66 Nowotwór złośliwy moczowodu,</w:t>
            </w:r>
          </w:p>
          <w:p w14:paraId="005B6CE2" w14:textId="768B087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C.68 Nowotwór złośliwy innych i nieokreślonych narządów moczowych.</w:t>
            </w:r>
          </w:p>
        </w:tc>
      </w:tr>
      <w:tr w:rsidR="00004386" w:rsidRPr="002667F9" w14:paraId="683BB564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66A1" w14:textId="46302B2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59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FBD0" w14:textId="5DC680E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45C9" w14:textId="1911BE1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paklitaksel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0716" w14:textId="58B6114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C.47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B360" w14:textId="5BC2C9D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PACLITAXEL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CAD1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Objęcie finasowaniem paklitakselu w nowotworach przełyku- wszystkie lokalizacje (ICD-10 C.15.) wraz z usunięciem dotychczasowego zawężenia wskazania oraz dodanie możliwości finasowania podania paklitakselu w terapii nowotwór złośliwy odbytu i kanału odbytu (ICD-10 C21).</w:t>
            </w:r>
          </w:p>
          <w:p w14:paraId="5B8068A7" w14:textId="710296F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004386" w:rsidRPr="002667F9" w14:paraId="478398BF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D27A" w14:textId="3663FC4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6D22" w14:textId="62480EF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D90E2" w14:textId="2967516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bewacyzumab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1EA6" w14:textId="7BAAA89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C.82.a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730A" w14:textId="5D13AB2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BEVACIZUMAB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0AF8" w14:textId="569B189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bewcyzumabem w skojarzeniu z karboplatyną i gemcytabiną lub w skojarzeniu z karboplatyną i paklitakselem pacjentek z pierwszym nawrotem wrażliwego na związki platyny raka jajnika, jajowodu lub pierwotnego raka otrzewnej.</w:t>
            </w:r>
          </w:p>
        </w:tc>
      </w:tr>
      <w:tr w:rsidR="00004386" w:rsidRPr="002667F9" w14:paraId="75FE5775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3F5D" w14:textId="2A05222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95FF" w14:textId="0D1B722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2EDA" w14:textId="7EAFD8A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bewacyzumab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4B85" w14:textId="3B18A0B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C.82.a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FD7D" w14:textId="3AD98E8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BEVACIZUMAB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8BE3" w14:textId="473D9DE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bewcyzumabem w skojarzeniu z paklitakselem, topotekanem inj. lub pegylowaną liposomalną doksorubicyną pacjentek z nawrotem opornego na związki platyny raka jajnika, jajowodu lub pierwotnego raka otrzewnej.</w:t>
            </w:r>
          </w:p>
        </w:tc>
      </w:tr>
      <w:tr w:rsidR="00004386" w:rsidRPr="002667F9" w14:paraId="39005D91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6514" w14:textId="73D2A3D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95F2" w14:textId="6000EFA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2B0B" w14:textId="1EF6986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45CC" w14:textId="5B991DB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863D" w14:textId="507ABB8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E3D1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melfalanem i prednizonem dorosłych pacjentów z nieleczonym uprzednio szpiczakiem plazmocytowym, którzy nie kwalifikują się do przeszczepienia autologicznych krwiotwórczych komórek macierzystych (auto-HSCT).</w:t>
            </w:r>
          </w:p>
          <w:p w14:paraId="776D591B" w14:textId="2BC87E2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212C88E8" w14:textId="77777777" w:rsidTr="00C64949">
        <w:trPr>
          <w:cantSplit/>
          <w:trHeight w:val="98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47C9" w14:textId="771201A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C820" w14:textId="459B6A1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7939" w14:textId="7642C83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5474" w14:textId="20258CD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AA54" w14:textId="09E2A95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A727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deksametazonem dorosłych pacjentów ze szpiczakiem plazmocytowym, u których stosowano uprzednio co najmniej jeden schemat leczenia.</w:t>
            </w:r>
          </w:p>
          <w:p w14:paraId="0A246B9F" w14:textId="77777777" w:rsidR="00004386" w:rsidRPr="006E21D3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E21D3">
              <w:rPr>
                <w:rFonts w:ascii="Lato" w:hAnsi="Lato" w:cstheme="majorHAnsi"/>
                <w:color w:val="000000"/>
                <w:sz w:val="18"/>
                <w:szCs w:val="18"/>
              </w:rPr>
              <w:t>(Rozszerzenie aktualnie refundowanego wskazania)</w:t>
            </w:r>
          </w:p>
          <w:p w14:paraId="22F80D8C" w14:textId="32416E2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3BA356CF" w14:textId="77777777" w:rsidTr="00C64949">
        <w:trPr>
          <w:cantSplit/>
          <w:trHeight w:val="98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E5FA" w14:textId="793E3ED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7C69" w14:textId="132CB62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CB1F" w14:textId="3553B42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2B38" w14:textId="1C171C1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DDB4" w14:textId="54947E9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1B8F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monoterapii w leczeniu podtrzymującym dorosłych pacjentów ze szpiczakiem plazmocytowym po przeszczepieniu autologicznych krwiotwórczych komórek macierzystych (auto-HSCT) stosowanych po pierwszej linii leczenia.</w:t>
            </w:r>
          </w:p>
          <w:p w14:paraId="12E6CF17" w14:textId="6790249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3C6CBE16" w14:textId="77777777" w:rsidTr="00C64949">
        <w:trPr>
          <w:cantSplit/>
          <w:trHeight w:val="140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2B7D" w14:textId="7593903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0DBD" w14:textId="1FD7FD4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CF66" w14:textId="3C1BAF5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3752" w14:textId="3D9CF02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C.84.c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38A1" w14:textId="17FCFB8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7CCC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uprzednio leczonym chłoniakiem grudkowym w stopniu 1-3a.</w:t>
            </w:r>
          </w:p>
          <w:p w14:paraId="293A4B70" w14:textId="21457E6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6B5E4A94" w14:textId="77777777" w:rsidTr="00C64949">
        <w:trPr>
          <w:cantSplit/>
          <w:trHeight w:val="12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E92B" w14:textId="41A30C6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12EE" w14:textId="0CA648F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F521" w14:textId="62491C1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9D19" w14:textId="29C796B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C.84.d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A511" w14:textId="68ECD33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FA1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lenalidomidem w skojarzeniu z rytuksymabem dorosłych pacjentów z uprzednio nieleczonym chłoniakiem grudkowym w stopniu 1-3a. </w:t>
            </w:r>
          </w:p>
          <w:p w14:paraId="2483271B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  <w:p w14:paraId="103F66FA" w14:textId="567FF4B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0303BDFB" w14:textId="77777777" w:rsidTr="00C64949">
        <w:trPr>
          <w:cantSplit/>
          <w:trHeight w:val="12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E444" w14:textId="3835A67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67.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ED28" w14:textId="05DB523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DE6A" w14:textId="49EDE3FE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B5BE7" w14:textId="4650633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C.84.d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8D1F" w14:textId="14FAE39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9CA94" w14:textId="29FAA0E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uprzednio leczonymi</w:t>
            </w:r>
            <w:r w:rsidR="00F83F4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chłoniakiami strefy brzeżnej.</w:t>
            </w:r>
          </w:p>
          <w:p w14:paraId="44DD8ED8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  <w:p w14:paraId="7F6FE727" w14:textId="02BDD0B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28440E8E" w14:textId="77777777" w:rsidTr="00C64949">
        <w:trPr>
          <w:cantSplit/>
          <w:trHeight w:val="12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3B58" w14:textId="2DBC095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61A8" w14:textId="46FC7A3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36D6" w14:textId="5EEA186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6A30" w14:textId="55B718A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C.84.d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680FD" w14:textId="6C38EA4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LENALIDOMIDUM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5194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lenalidomidem w skojarzeniu z rytuksymabem dorosłych pacjentów z nawracającym lub opornym na leczenie chłoniakiem z komórek płaszcza.</w:t>
            </w:r>
          </w:p>
          <w:p w14:paraId="2223913B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  <w:p w14:paraId="582F43AC" w14:textId="49873E9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79BB4D43" w14:textId="77777777" w:rsidTr="00C64949">
        <w:trPr>
          <w:cantSplit/>
          <w:trHeight w:val="12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3E31" w14:textId="1E312F6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69.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C281" w14:textId="020EABD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Besremi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B444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ropeginterferon</w:t>
            </w:r>
          </w:p>
          <w:p w14:paraId="6097AD7F" w14:textId="1F2A5CC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alfa-2b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CAC9" w14:textId="48B4D2B1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C.85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5F35" w14:textId="3EB90B3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ROPEGINTERFERONUM ALFA-2B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4767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ropeginterferonem alfa-2b pacjentów chorych na czerwienicę prawdziwą, którzy</w:t>
            </w:r>
            <w:r w:rsidRPr="00004386">
              <w:rPr>
                <w:rFonts w:ascii="Lato" w:hAnsi="Lato"/>
                <w:sz w:val="18"/>
                <w:szCs w:val="18"/>
              </w:rPr>
              <w:t xml:space="preserve"> </w:t>
            </w: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nie odpowiadają na leczenie hydroksymocznikiem lub mają objawy niepożądane, młodych chorych wysokiego ryzyka ze wskazaniami do leczenia cytoredukcyjnego, kobiet w ciąży z czerwienicą prawdziwą wymagających leczenia cytoredukcyjnego.</w:t>
            </w:r>
          </w:p>
          <w:p w14:paraId="04603419" w14:textId="524D1A40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2667F9" w14:paraId="11BAEE71" w14:textId="77777777" w:rsidTr="00F83F44">
        <w:trPr>
          <w:cantSplit/>
          <w:trHeight w:val="36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9339" w14:textId="0FFEA4C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AB2D" w14:textId="1C020265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C366" w14:textId="295D427A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trastuzumab i.v.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092D" w14:textId="79CC160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C.86.c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FD7B" w14:textId="25756D2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TRASTUZUMAB I.V.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0308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Leczenie trastuzumabem w skojarzeniu z paklitakselem i karboplatyną chorych z zaawansowanym lub nawrotowym surowiczym rakiem endometrium z nadekspresją białka HER2.</w:t>
            </w:r>
          </w:p>
          <w:p w14:paraId="72D9345E" w14:textId="40831FC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off-label)</w:t>
            </w:r>
          </w:p>
        </w:tc>
      </w:tr>
      <w:tr w:rsidR="00004386" w:rsidRPr="002667F9" w14:paraId="30B5FC26" w14:textId="77777777" w:rsidTr="00F83F44">
        <w:trPr>
          <w:cantSplit/>
          <w:trHeight w:val="38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B03C" w14:textId="1054A37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DD38" w14:textId="0C55F9E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64A5" w14:textId="59616BC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C35E" w14:textId="096FE4F2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C.87.a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B42F" w14:textId="24AEC7D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358B" w14:textId="6036731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Leczenia chorych na nowo rozpoznanego hormonowrażliwego raka gruczołu krokowego wysokiego ryzyka z przerzutami (mHSPC).</w:t>
            </w:r>
          </w:p>
        </w:tc>
      </w:tr>
      <w:tr w:rsidR="00004386" w:rsidRPr="002667F9" w14:paraId="330371A0" w14:textId="77777777" w:rsidTr="00F83F44">
        <w:trPr>
          <w:cantSplit/>
          <w:trHeight w:val="83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7BA5" w14:textId="2060BF4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4FD1" w14:textId="23E9A18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EDE8" w14:textId="54E69B06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7CC1" w14:textId="2DD60CFF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C.87.b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B6AD" w14:textId="07BD67FC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DDC1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Leczenia chorych na wrażliwego na kastrację raka gruczołu krokowego z przerzutami (mHSPC) oraz leczenia pacjentów na opornego na kastrację raka gruczołu krokowego bez przerzutów (nmCRPC) z wysokim ryzykiem wystąpienia przerzutów.</w:t>
            </w:r>
          </w:p>
          <w:p w14:paraId="57AA1564" w14:textId="3B29F939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</w:t>
            </w:r>
            <w:r w:rsidRPr="00F83F4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off-label</w:t>
            </w: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04386" w:rsidRPr="002667F9" w14:paraId="1BD56362" w14:textId="77777777" w:rsidTr="00F83F44">
        <w:trPr>
          <w:cantSplit/>
          <w:trHeight w:val="51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F13A" w14:textId="6637171D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73.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F824" w14:textId="7973DAD4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4E27" w14:textId="6C9EE95B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sunitynib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F62D" w14:textId="276B2918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color w:val="000000"/>
                <w:sz w:val="18"/>
                <w:szCs w:val="18"/>
              </w:rPr>
              <w:t>C.88.b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E52E" w14:textId="551439E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SUNITINIB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8DD7" w14:textId="77777777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sz w:val="18"/>
                <w:szCs w:val="18"/>
              </w:rPr>
              <w:t>Leczenie sunitynibem mięsaków tkanek miękkich u pacjentów z samotnym guzem włóknistym (</w:t>
            </w: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solitary fibrous tumor</w:t>
            </w:r>
            <w:r w:rsidRPr="00004386">
              <w:rPr>
                <w:rFonts w:ascii="Lato" w:hAnsi="Lato" w:cstheme="majorHAnsi"/>
                <w:sz w:val="18"/>
                <w:szCs w:val="18"/>
              </w:rPr>
              <w:t>), a także u wcześniej poddanych chemioterapii pacjentów z mięsakiem naczyniowym (</w:t>
            </w:r>
            <w:r w:rsidRPr="00004386">
              <w:rPr>
                <w:rFonts w:ascii="Lato" w:hAnsi="Lato" w:cstheme="majorHAnsi"/>
                <w:i/>
                <w:iCs/>
                <w:sz w:val="18"/>
                <w:szCs w:val="18"/>
              </w:rPr>
              <w:t>angiosarcoma</w:t>
            </w:r>
            <w:r w:rsidRPr="00004386">
              <w:rPr>
                <w:rFonts w:ascii="Lato" w:hAnsi="Lato" w:cstheme="majorHAnsi"/>
                <w:sz w:val="18"/>
                <w:szCs w:val="18"/>
              </w:rPr>
              <w:t>).</w:t>
            </w:r>
          </w:p>
          <w:p w14:paraId="421ADE77" w14:textId="31371273" w:rsidR="00004386" w:rsidRPr="00004386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off-label) </w:t>
            </w:r>
          </w:p>
        </w:tc>
      </w:tr>
    </w:tbl>
    <w:p w14:paraId="686D2E82" w14:textId="77777777" w:rsidR="00816802" w:rsidRPr="002667F9" w:rsidRDefault="00816802" w:rsidP="00816802">
      <w:pPr>
        <w:rPr>
          <w:rFonts w:ascii="Lato" w:hAnsi="Lato" w:cstheme="majorHAnsi"/>
          <w:sz w:val="20"/>
          <w:szCs w:val="20"/>
        </w:rPr>
      </w:pPr>
    </w:p>
    <w:p w14:paraId="3F9E140F" w14:textId="0EFC303D" w:rsidR="00816802" w:rsidRPr="002667F9" w:rsidRDefault="00816802" w:rsidP="00816802">
      <w:pPr>
        <w:suppressAutoHyphens w:val="0"/>
        <w:rPr>
          <w:rFonts w:ascii="Lato" w:hAnsi="Lato" w:cstheme="majorHAnsi"/>
          <w:sz w:val="20"/>
          <w:szCs w:val="20"/>
        </w:rPr>
      </w:pPr>
    </w:p>
    <w:p w14:paraId="2E744D54" w14:textId="77777777" w:rsidR="00816802" w:rsidRPr="002667F9" w:rsidRDefault="00816802" w:rsidP="00816802">
      <w:pPr>
        <w:rPr>
          <w:rFonts w:ascii="Lato" w:hAnsi="Lato" w:cstheme="majorHAnsi"/>
          <w:sz w:val="20"/>
          <w:szCs w:val="20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1500"/>
        <w:gridCol w:w="1842"/>
        <w:gridCol w:w="1981"/>
        <w:gridCol w:w="3526"/>
        <w:gridCol w:w="4477"/>
      </w:tblGrid>
      <w:tr w:rsidR="00816802" w:rsidRPr="002667F9" w14:paraId="03B15345" w14:textId="77777777" w:rsidTr="00CC71A7">
        <w:trPr>
          <w:cantSplit/>
          <w:trHeight w:val="14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6D1A" w14:textId="692091DA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Nowe wskazania nieonkologiczne</w:t>
            </w:r>
          </w:p>
        </w:tc>
      </w:tr>
      <w:tr w:rsidR="00816802" w:rsidRPr="002667F9" w14:paraId="0B21BDF5" w14:textId="77777777" w:rsidTr="00CC71A7">
        <w:trPr>
          <w:cantSplit/>
          <w:trHeight w:val="14"/>
        </w:trPr>
        <w:tc>
          <w:tcPr>
            <w:tcW w:w="21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22DB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0C85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F71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Substancja czynna</w:t>
            </w:r>
          </w:p>
        </w:tc>
        <w:tc>
          <w:tcPr>
            <w:tcW w:w="7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6393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26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C9DC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 xml:space="preserve">Nazwa programu lekowego / </w:t>
            </w:r>
          </w:p>
          <w:p w14:paraId="735EAD06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Załącznika chemioterapii</w:t>
            </w:r>
          </w:p>
        </w:tc>
        <w:tc>
          <w:tcPr>
            <w:tcW w:w="1608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B08D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Doprecyzowanie wskazania</w:t>
            </w:r>
          </w:p>
        </w:tc>
      </w:tr>
      <w:tr w:rsidR="00004386" w:rsidRPr="00CC71A7" w14:paraId="02884D36" w14:textId="77777777" w:rsidTr="00CC71A7">
        <w:trPr>
          <w:cantSplit/>
          <w:trHeight w:val="221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0EF6" w14:textId="55149B31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C569" w14:textId="68AE8FC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Adynovi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4960" w14:textId="0BCE248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/>
                <w:i/>
                <w:iCs/>
                <w:sz w:val="18"/>
                <w:szCs w:val="18"/>
              </w:rPr>
              <w:t>rurioktokog alfa pegol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C802" w14:textId="7E5D009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D049" w14:textId="50ECE37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ZAPOBIEGANIE KRWAWIENIOM U DZIECI Z HEMOFILIĄ A I B (ICD-10: D66, D67)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5B9D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i profilaktyka krwawień u pacjentów w wieku 12 lat i powyżej z hemofilią A.</w:t>
            </w:r>
          </w:p>
          <w:p w14:paraId="75A97F5F" w14:textId="2F6D6FA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01B1F83D" w14:textId="77777777" w:rsidTr="00CC71A7">
        <w:trPr>
          <w:cantSplit/>
          <w:trHeight w:val="1106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2925" w14:textId="1292898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780F" w14:textId="4E2EC22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Mavenclad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CEF5" w14:textId="72DA20F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kladrybina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8257" w14:textId="352F6751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2EAE" w14:textId="769B624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D4B9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kladrybiną w I linii pacjentów z rzutowo-remisyjną postacią stwardnienia rozsianego (RRMS). </w:t>
            </w:r>
          </w:p>
          <w:p w14:paraId="3A239257" w14:textId="5A8E872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I linia leczenia zdefiniowana jako wystąpienie minimum 2 rzutów klinicznych niezależnie od zmian MRI w okresie 12 miesięcy przed kwalifikacją.</w:t>
            </w:r>
          </w:p>
        </w:tc>
      </w:tr>
      <w:tr w:rsidR="00004386" w:rsidRPr="00CC71A7" w14:paraId="190A9085" w14:textId="77777777" w:rsidTr="00CC71A7">
        <w:trPr>
          <w:cantSplit/>
          <w:trHeight w:val="1106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066A" w14:textId="1AB3F5D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F55D" w14:textId="28E4147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Ocrevus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B6FE" w14:textId="50F1507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okrelizumab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0FAD" w14:textId="54A923D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6526" w14:textId="77D1194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32F3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okrelizumabem w I linii pacjentów z rzutowo-remisyjną postacią stwardnienia rozsianego (RRMS).</w:t>
            </w:r>
          </w:p>
          <w:p w14:paraId="13B81BAE" w14:textId="7A8667D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I linia leczenia zdefiniowana jako wystąpienie minimum 1 rzutu klinicznego albo co najmniej 1 nowe ognisko GD+ w okresie 12 miesięcy przed kwalifikacją.</w:t>
            </w:r>
          </w:p>
        </w:tc>
      </w:tr>
      <w:tr w:rsidR="00004386" w:rsidRPr="00CC71A7" w14:paraId="1AD17E55" w14:textId="77777777" w:rsidTr="00CC71A7">
        <w:trPr>
          <w:cantSplit/>
          <w:trHeight w:val="255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EE91" w14:textId="04EBDAA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099D" w14:textId="1149D17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Jyseleca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BD2D" w14:textId="57F469C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filgotynib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4BD5" w14:textId="568A40E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B.33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CDBE" w14:textId="10E86FF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E80A" w14:textId="401C9B0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RZS  kolejnym lekiem z grupy inhibitorów kinaz janusowych (JAK).</w:t>
            </w:r>
          </w:p>
        </w:tc>
      </w:tr>
      <w:tr w:rsidR="00004386" w:rsidRPr="00CC71A7" w14:paraId="1035CA4A" w14:textId="77777777" w:rsidTr="00CC71A7">
        <w:trPr>
          <w:cantSplit/>
          <w:trHeight w:val="1106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FA5B" w14:textId="672F26E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5EA1" w14:textId="2474CAF1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Cosentyx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4412" w14:textId="2F9A402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sekukinumab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2A80" w14:textId="4B9B6E9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B.33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40AD" w14:textId="24EE2B3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EDF5" w14:textId="5FFD863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MIZS: w zapaleniu stawów z zapaleniem przyczepów ścięgien (ERA) i młodzieńczym łuszczycowym zapaleniem stawów (MŁZS)-kolejnym inhibitorem interleukin  (IL-17A).</w:t>
            </w:r>
          </w:p>
        </w:tc>
      </w:tr>
      <w:tr w:rsidR="00004386" w:rsidRPr="00CC71A7" w14:paraId="45A45478" w14:textId="77777777" w:rsidTr="00CC71A7">
        <w:trPr>
          <w:cantSplit/>
          <w:trHeight w:val="555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98B4" w14:textId="16F56D8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0A8E" w14:textId="1461167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Skyrizi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C945" w14:textId="6BA6861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/>
                <w:i/>
                <w:iCs/>
                <w:sz w:val="18"/>
                <w:szCs w:val="18"/>
              </w:rPr>
              <w:t>ryzankizumab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342F" w14:textId="6E727A5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B9EE" w14:textId="38CD3E8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LECZENIE CHORYCH Z ŁUSZCZYCOWYM ZAPALENIEM STAWÓW (ŁZS) (ICD-10: L40.5, M07.1, M07.2, M07.3)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A48B" w14:textId="34E51E9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łuszczycowym zapaleniem stawów kolejnym inhibitorem interleukin.</w:t>
            </w:r>
          </w:p>
        </w:tc>
      </w:tr>
      <w:tr w:rsidR="00004386" w:rsidRPr="00CC71A7" w14:paraId="26688C9E" w14:textId="77777777" w:rsidTr="00CC71A7">
        <w:trPr>
          <w:cantSplit/>
          <w:trHeight w:val="6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EEB1" w14:textId="607696B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E2BA" w14:textId="54D3FE6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Tremfya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DF07" w14:textId="63D42E1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="Calibri Light"/>
                <w:i/>
                <w:iCs/>
                <w:sz w:val="18"/>
                <w:szCs w:val="18"/>
              </w:rPr>
              <w:t>guselkumab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C0C6" w14:textId="5DF9967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2C5F" w14:textId="4B0EA9E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LECZENIE CHORYCH Z ŁUSZCZYCOWYM ZAPALENIEM STAWÓW (ŁZS) (ICD-10: L40.5, M07.1, M07.2, M07.3)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F415" w14:textId="0C98C5C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łuszczycowym zapaleniem stawów kolejnym inhibitorem interleukin.</w:t>
            </w:r>
          </w:p>
        </w:tc>
      </w:tr>
      <w:tr w:rsidR="00004386" w:rsidRPr="00CC71A7" w14:paraId="465AD285" w14:textId="77777777" w:rsidTr="00CC71A7">
        <w:trPr>
          <w:cantSplit/>
          <w:trHeight w:val="1106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78C2" w14:textId="40802AA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91CE" w14:textId="26128641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 w:themeColor="text1"/>
                <w:sz w:val="18"/>
                <w:szCs w:val="18"/>
              </w:rPr>
              <w:t>Xeljanz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51E5" w14:textId="2FB51FC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  <w:t>tofacytynib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91AA" w14:textId="529065D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B.36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E792" w14:textId="08A0A9F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AKTYWNĄ POSTACIĄ ZESZTYWNIAJĄCEGO ZAPALENIA STAWÓW KRĘGOSŁUPA (ZZSK) (ICD-10: M45)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AA73" w14:textId="16A4A0E1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Leczenie chorych z ZZSK-kolejnym lekiemz grupy inhibitorów kinaz janusowych (JAK).</w:t>
            </w:r>
          </w:p>
        </w:tc>
      </w:tr>
      <w:tr w:rsidR="00004386" w:rsidRPr="00CC71A7" w14:paraId="7D2CD424" w14:textId="77777777" w:rsidTr="00CC71A7">
        <w:trPr>
          <w:cantSplit/>
          <w:trHeight w:val="57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B9F0" w14:textId="0FF0B8B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EE46" w14:textId="01330EE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sz w:val="18"/>
                <w:szCs w:val="18"/>
              </w:rPr>
              <w:t>Evrenzo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D536" w14:textId="1ECFA36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sz w:val="18"/>
                <w:szCs w:val="18"/>
              </w:rPr>
              <w:t>roksadustat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5407" w14:textId="1EBCD7C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AA19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NIEDOKRWISTOŚCI U CHORYCH Z PRZEWLEKŁĄ NIEWYDOLNOŚCIĄ NEREK </w:t>
            </w:r>
          </w:p>
          <w:p w14:paraId="3BFD8176" w14:textId="40C0572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(ICD-10: N18)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5B72" w14:textId="2DDBB7F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niedokrwistości u pacjentów z przewlekłą niewydolnością nerek, niedializowanych, powyżej 18 r.ż. za pomocą roksadustatu (terapia doustna).</w:t>
            </w:r>
          </w:p>
        </w:tc>
      </w:tr>
      <w:tr w:rsidR="00004386" w:rsidRPr="00CC71A7" w14:paraId="56FE626A" w14:textId="77777777" w:rsidTr="00CC71A7">
        <w:trPr>
          <w:cantSplit/>
          <w:trHeight w:val="1209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2457" w14:textId="6D40915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EA41" w14:textId="38CC7DC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Synagis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B8D9" w14:textId="180203E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paliwizumab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32C7" w14:textId="205C68C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BCE2" w14:textId="142C1BB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(ICD-10: P07.2, P07.3, P27.1, P07.0, P07.1, Q20-Q24)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F39C" w14:textId="7B3026A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u pacjentów z hemodynamicznie istotną wadą serca z jawną niewydolnością serca utrzymującą się pomimo leczenia farmakologicznego, umiarkowanym lub ciężkim wtórnym nadciśnieniem płucnym lub sinicznymi wadami serca z przezskórnym utlenowaniem krwi tętniczej utrzymującej się oraz u dzieci urodzone w wieku ciążowym ≤ 35 tygodni o masie urodzeniowej ≤ 1500 g.</w:t>
            </w:r>
          </w:p>
        </w:tc>
      </w:tr>
      <w:tr w:rsidR="00004386" w:rsidRPr="00CC71A7" w14:paraId="6101D43D" w14:textId="77777777" w:rsidTr="00CC71A7">
        <w:trPr>
          <w:cantSplit/>
          <w:trHeight w:val="6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E62A" w14:textId="5B2FE3C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A0A9" w14:textId="0146BE9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sz w:val="18"/>
                <w:szCs w:val="18"/>
              </w:rPr>
              <w:t>Bimzelx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7792" w14:textId="120A611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bimekizumab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DF67" w14:textId="333AF4E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3135" w14:textId="77D2804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A055" w14:textId="618FD5A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ciężkiej i umiarkowanej postaci łuszczycy bez ograniczeń czasowych u pacjentów powyżej 18 roku życia.</w:t>
            </w:r>
          </w:p>
        </w:tc>
      </w:tr>
      <w:tr w:rsidR="00004386" w:rsidRPr="00CC71A7" w14:paraId="0AE7FCCC" w14:textId="77777777" w:rsidTr="00CC71A7">
        <w:trPr>
          <w:cantSplit/>
          <w:trHeight w:val="342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3C18" w14:textId="4D7F2CD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54A9" w14:textId="6604768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Cosentyx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BF78" w14:textId="54450E5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sekukinumab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43E6" w14:textId="7843D08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9836" w14:textId="5CA3E2B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184D" w14:textId="163CB91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plackowatej, zniesienie limitu czasu leczenia oraz objęcie refundacją pacjentów powyżej 6 roku życia.</w:t>
            </w:r>
          </w:p>
        </w:tc>
      </w:tr>
      <w:tr w:rsidR="00004386" w:rsidRPr="00CC71A7" w14:paraId="5CEE5ECE" w14:textId="77777777" w:rsidTr="00CC71A7">
        <w:trPr>
          <w:cantSplit/>
          <w:trHeight w:val="817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9537" w14:textId="469DADA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5E48" w14:textId="32951C1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Skyrizi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E14B" w14:textId="1D647B4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risankizumab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053C" w14:textId="32DAE8A1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CCE7" w14:textId="131B300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885E" w14:textId="150F01B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leczenia.</w:t>
            </w:r>
          </w:p>
        </w:tc>
      </w:tr>
      <w:tr w:rsidR="00004386" w:rsidRPr="00CC71A7" w14:paraId="5E6310AA" w14:textId="77777777" w:rsidTr="00CC71A7">
        <w:trPr>
          <w:cantSplit/>
          <w:trHeight w:val="977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FC8D" w14:textId="7E44EB7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7BF9" w14:textId="7BC2B78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Tremfya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D59F" w14:textId="7806B5C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guselkumab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309E" w14:textId="3477FB3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00E8" w14:textId="79EE47A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8026" w14:textId="45407CA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leczenia.</w:t>
            </w:r>
          </w:p>
        </w:tc>
      </w:tr>
      <w:tr w:rsidR="00004386" w:rsidRPr="00CC71A7" w14:paraId="251E50CC" w14:textId="77777777" w:rsidTr="00CC71A7">
        <w:trPr>
          <w:cantSplit/>
          <w:trHeight w:val="101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10E6" w14:textId="350AD22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15.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3062" w14:textId="45DCCC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Zeposia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D77F" w14:textId="429CC06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ozanimod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104E" w14:textId="128F159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7321" w14:textId="163B8B8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76F5" w14:textId="0564C62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za pomocą modulatora receptora fosforanu sfingozyny 1 (ozanimodem) z rozpoznaną ciężką lub umiarkowaną postacią wrzodziejącego zapalenia jelita grubego.</w:t>
            </w:r>
          </w:p>
        </w:tc>
      </w:tr>
      <w:tr w:rsidR="00004386" w:rsidRPr="00CC71A7" w14:paraId="5B6B6924" w14:textId="77777777" w:rsidTr="00CC71A7">
        <w:trPr>
          <w:cantSplit/>
          <w:trHeight w:val="101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6F79" w14:textId="7B2D27C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2271" w14:textId="0612E00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sz w:val="18"/>
                <w:szCs w:val="18"/>
              </w:rPr>
              <w:t>Jyseleca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0657" w14:textId="1D280FF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sz w:val="18"/>
                <w:szCs w:val="18"/>
              </w:rPr>
              <w:t>filgotynib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27C6" w14:textId="24F8E71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AD9F" w14:textId="7BC578C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8CAB" w14:textId="61B8337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za pomocą kolejnego leku z grupy inhibitorów JAK (filgotynibem) z rozpoznaną ciężką lub umiarkowaną postacią wrzodziejącego zapalenia jelita grubego.</w:t>
            </w:r>
          </w:p>
        </w:tc>
      </w:tr>
      <w:tr w:rsidR="00004386" w:rsidRPr="00CC71A7" w14:paraId="261884D0" w14:textId="77777777" w:rsidTr="00CC71A7">
        <w:trPr>
          <w:cantSplit/>
          <w:trHeight w:val="101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EEEB" w14:textId="0E5B5EE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5F7F" w14:textId="70930B4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Dysport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78D5" w14:textId="5424E52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toksyna botulinowa typu 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65C3" w14:textId="2678104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B.57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B047" w14:textId="6714C74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ZE SPASTYCZNOŚCIĄ KOŃCZYN Z UŻYCIEM TOKSYNY BOTULINOWEJ TYPU A (ICD–10: I61, I63, I69, G35, G80, G82, G83, T90, T91)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1968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stosowania toksyny botulinową o leczenie pacjentów ze spastycznością  o etiologii innej niż udarowa, tj.:</w:t>
            </w:r>
          </w:p>
          <w:p w14:paraId="3A91751C" w14:textId="77777777" w:rsidR="00004386" w:rsidRPr="00CC71A7" w:rsidRDefault="00004386" w:rsidP="000043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po przebytym urazie OUN,</w:t>
            </w:r>
          </w:p>
          <w:p w14:paraId="79469433" w14:textId="77777777" w:rsidR="00004386" w:rsidRPr="00CC71A7" w:rsidRDefault="00004386" w:rsidP="000043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z rozpoznaniem stwardnienia rozsianego,</w:t>
            </w:r>
          </w:p>
          <w:p w14:paraId="0ADB29BA" w14:textId="77777777" w:rsidR="00004386" w:rsidRPr="00CC71A7" w:rsidRDefault="00004386" w:rsidP="000043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z rozpoznaniem mózgowego porażenia dziecięcego,</w:t>
            </w:r>
          </w:p>
          <w:p w14:paraId="19AD3D61" w14:textId="600715C6" w:rsidR="00004386" w:rsidRPr="00CC71A7" w:rsidRDefault="00004386" w:rsidP="00004386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0" w:hanging="283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rozpoznaniem paraplegii spastycznej. </w:t>
            </w:r>
          </w:p>
        </w:tc>
      </w:tr>
      <w:tr w:rsidR="00004386" w:rsidRPr="00CC71A7" w14:paraId="73D0BC50" w14:textId="77777777" w:rsidTr="00CC71A7">
        <w:trPr>
          <w:cantSplit/>
          <w:trHeight w:val="101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17BB" w14:textId="625374B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0C52" w14:textId="7461882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Ultomiris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5FC9" w14:textId="5CB0899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rawulizumab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6C20" w14:textId="7B9C699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D3C1" w14:textId="3A8C5F2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ATYPOWYM ZESPOŁEM HEMOLITYCZNO-MOCZNICOWYM (aHUS) (ICD-10 D 59.3)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970F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atypowym zespołem hemolityczno-mocznicowym za pomocą rawulizumabu (kolejnego leku z grupy inhibitorów białka C5 dopełniacza).</w:t>
            </w:r>
          </w:p>
          <w:p w14:paraId="50875B91" w14:textId="1AF1F00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41D1A3B4" w14:textId="77777777" w:rsidTr="00CC71A7">
        <w:trPr>
          <w:cantSplit/>
          <w:trHeight w:val="101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C7F6" w14:textId="36B26DC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F817" w14:textId="4E91B3E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sz w:val="18"/>
                <w:szCs w:val="18"/>
              </w:rPr>
              <w:t>Ultomiris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6E62" w14:textId="46B0693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sz w:val="18"/>
                <w:szCs w:val="18"/>
              </w:rPr>
              <w:t>rawulizumab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9240" w14:textId="78C0F57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B.96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6343" w14:textId="1D96911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NOCNĄ NAPADOWĄ HEMOGLOBINURIĄ (PNH) (ICD-10 D59.5)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8FFF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nocną napadową hemoglobinurią za pomocą rawulizumabu (kolejnego leku z grupy inhibitorów białka C5 dopełniacza).</w:t>
            </w:r>
          </w:p>
          <w:p w14:paraId="5273DC27" w14:textId="5EC8FA6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7E41DC9A" w14:textId="77777777" w:rsidTr="00CC71A7">
        <w:trPr>
          <w:cantSplit/>
          <w:trHeight w:val="101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9485" w14:textId="762AFD9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76E0" w14:textId="5F3B60A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Aspaveli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50EE" w14:textId="03F74CE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pegcetakoplan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A755" w14:textId="414DB47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B.96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3ECD" w14:textId="5D106FA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NOCNĄ NAPADOWĄ HEMOGLOBINURIĄ (PNH) (ICD-10 D59.5)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2545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II linia leczenia pacjentów z nocną napadową hemoglobinurią, u których wystąpiła niedokrwistość po leczeniu inhibitorem białka C5 dopełniacza.</w:t>
            </w:r>
          </w:p>
          <w:p w14:paraId="68C8E68F" w14:textId="19DAAC7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05C85326" w14:textId="77777777" w:rsidTr="00CC71A7">
        <w:trPr>
          <w:cantSplit/>
          <w:trHeight w:val="101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920" w14:textId="199B4D6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8740" w14:textId="184F395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Doptelet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65AF" w14:textId="3257086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awatrombopag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D6B2" w14:textId="68EB268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489F" w14:textId="128E668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0201B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pierwotnej małopłytkowości immunologicznej awatrombopagiem u dorosłych pacjentów.</w:t>
            </w:r>
          </w:p>
          <w:p w14:paraId="5935F36C" w14:textId="2BDCAE8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3A87AFEC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B13D" w14:textId="75F4787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430F" w14:textId="35B9832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sz w:val="18"/>
                <w:szCs w:val="18"/>
              </w:rPr>
              <w:t>Nplate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5E62" w14:textId="28E9BB6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sz w:val="18"/>
                <w:szCs w:val="18"/>
              </w:rPr>
              <w:t>romiplostym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9777" w14:textId="29C7FDE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7D1B" w14:textId="7864F87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 D69.3)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9E43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Rozszerzenie populacji o pacjentów, u których nie wykonano splenektomii.</w:t>
            </w:r>
          </w:p>
          <w:p w14:paraId="28575C96" w14:textId="3DCD5BD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1DC35289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BCD1" w14:textId="3EBEABE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23.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A6BF" w14:textId="69CF0E0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Lojuxta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BAF0" w14:textId="475A0A9E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="Helvetica"/>
                <w:i/>
                <w:iCs/>
                <w:color w:val="333333"/>
                <w:sz w:val="18"/>
                <w:szCs w:val="18"/>
                <w:shd w:val="clear" w:color="auto" w:fill="FFFFFF"/>
              </w:rPr>
              <w:t>lomitapid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62F4" w14:textId="645634B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F558" w14:textId="5A30A70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400B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homozygotyczną hipercholesterolemią rodzinną (HoFH).</w:t>
            </w:r>
          </w:p>
          <w:p w14:paraId="04070E7C" w14:textId="6DF6A0D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718BC22A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F3EC" w14:textId="33D6613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38E89" w14:textId="29843BF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Ozurdex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E388" w14:textId="50FCEB29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deksametazon w postaci implantu doszklistkowego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9001" w14:textId="11D676D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47A9" w14:textId="6B99BBA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CHORYCH NA ZAPALENIE BŁONY NACZYNIOWEJ OKA (ZBN) (ICD-10: H20.0, H30.0).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FB4D" w14:textId="03C082D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klinicznie znamiennego obrzęku plamki w przebiegu zapalenia błony naczyniowej oka.</w:t>
            </w:r>
          </w:p>
        </w:tc>
      </w:tr>
      <w:tr w:rsidR="00004386" w:rsidRPr="00CC71A7" w14:paraId="5493BFEC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C5DE" w14:textId="425C44B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BE8C" w14:textId="1B70569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Adtralza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E617" w14:textId="3FB640C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tralokinumab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C30B" w14:textId="4DE1254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B.124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49CC" w14:textId="515F299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ATOPOWYM ZAPALENIEM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A2A6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w wieku 12 lat i powyżej z ciężką postacią atopowego zapalenia skóry.</w:t>
            </w:r>
          </w:p>
          <w:p w14:paraId="5FE0F7EA" w14:textId="5ACEA7A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Kolejna opcja terapeutyczna stanowiąca przeciwciało monoklonalne obok obecnego już w programie lekowym dupilumabu. </w:t>
            </w:r>
          </w:p>
        </w:tc>
      </w:tr>
      <w:tr w:rsidR="00004386" w:rsidRPr="00CC71A7" w14:paraId="68460CB9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402A" w14:textId="68C4C9C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26.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5238" w14:textId="45017F7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sz w:val="18"/>
                <w:szCs w:val="18"/>
              </w:rPr>
              <w:t>Cibinqo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E259" w14:textId="6584BA7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sz w:val="18"/>
                <w:szCs w:val="18"/>
              </w:rPr>
              <w:t>abrocytynib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260F" w14:textId="2FF37D0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B.124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C9FE" w14:textId="2B10DFD8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ATOPOWYM ZAPALENIEM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3AEF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w wieku 18 lat i powyżej z ciężką postacią atopowego zapalenia skóry.</w:t>
            </w:r>
          </w:p>
          <w:p w14:paraId="0FE1E620" w14:textId="56A9B80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Kolejna opcja terapeutyczna z grupy leków należących do inhibitorów JAK obok obecnych w programie lekowym barycytynibu oraz upadacytynibu.</w:t>
            </w:r>
          </w:p>
        </w:tc>
      </w:tr>
      <w:tr w:rsidR="00004386" w:rsidRPr="00CC71A7" w14:paraId="451A4CCE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0DAD" w14:textId="607D414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27.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49BC9" w14:textId="42C21E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Ofev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441C" w14:textId="2C1782C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nintedanib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DB0F" w14:textId="1D0144C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B612" w14:textId="54B7F4A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ŚRÓDMIĄŻSZOWĄ PŁUC (ICD-10: D86, J67.0-J67.9, J84.1, J84.8, J84.9, J99.0, J99.1, M34)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D8D6" w14:textId="3032C37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śródmiąższową płuc przebiegającą z włóknieniem o fenotypie postępującym (PF-ILD).</w:t>
            </w:r>
          </w:p>
        </w:tc>
      </w:tr>
      <w:tr w:rsidR="00004386" w:rsidRPr="00CC71A7" w14:paraId="0E58374A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4FF" w14:textId="16012BD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28.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8FA" w14:textId="4C217C7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Reblozyl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0D75" w14:textId="3BAFC262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luspatercept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04CB" w14:textId="3017009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B.142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9792" w14:textId="673ADCE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ZESPOŁAMI MIELODYSPLASTYCZNYMI Z TOWARZYSZĄCĄ NIEDOKRWISTOŚCIĄ ZALEŻNĄ OD TRANSFUZJI (ICD-10: D46.1)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21F8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Niedokrwistość zależna od przetoczeń u osób dorosłych w przebiegu zespołów mielodysplastycznych o bardzo niskim, niskim lub pośrednim ryzyku z pierścieniowatymi syderoblastami, u których wystąpiła niedostateczna odpowiedź na leki stymulujące erytropoezę, lub którzy nie kwalifikują się do takiego leczenia. </w:t>
            </w:r>
          </w:p>
          <w:p w14:paraId="01F77BE2" w14:textId="22D90CB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12C598CC" w14:textId="77777777" w:rsidTr="00CC71A7">
        <w:trPr>
          <w:cantSplit/>
          <w:trHeight w:val="84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ED2A" w14:textId="366E8F8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29.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0C0B" w14:textId="1DCF991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Carbaglu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ED24" w14:textId="40320B2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kwas kargluminowy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74B0" w14:textId="5AE3EA81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B.143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7261" w14:textId="74A84E4C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KWASEM KARGLUMINOWYM CHORYCH Z ACYDURIAMI ORGANICZNYMI: PROPIONOWĄ, METYLOMALONOWĄ I IZOWALERIANOWĄ (ICD-10: E71.1)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E98D" w14:textId="77D0A7F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kwasic organicznych: propionowej, metylomalonowej i izowalerianowej, genetycznie uwarunkowanych zaburzeń metabolicznych, dotyczących metabolizmu aminokwasów, szczególnie aminokwasów rozgałęzionych (izoleucyna, leucyna i walina).</w:t>
            </w: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04386" w:rsidRPr="00CC71A7" w14:paraId="30B0E2FF" w14:textId="77777777" w:rsidTr="00CC71A7">
        <w:trPr>
          <w:cantSplit/>
          <w:trHeight w:val="100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6701" w14:textId="06AA4DF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80D" w14:textId="70EB650A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Spravato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29C6" w14:textId="1190157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esketamina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5C9B" w14:textId="5F9522C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B.147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91AF" w14:textId="7763A88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DEPRESJĘ LEKOOPORNĄ (ICD-10: F33.1, F33.2)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A54B" w14:textId="4545D98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esketaminą depresji lekoopornej zdefiniowanej jako zaburzenia depresyjne u osób dorosłych, u których nie wystąpiła odpowiedź na co najmniej dwa różne leki przeciwdepresyjne w obecnym epizodzie depresji o stopniu nasilenia od umiarkowanego do ciężkiego.</w:t>
            </w:r>
          </w:p>
        </w:tc>
      </w:tr>
      <w:tr w:rsidR="00004386" w:rsidRPr="00CC71A7" w14:paraId="69B43A60" w14:textId="77777777" w:rsidTr="00CC71A7">
        <w:trPr>
          <w:cantSplit/>
          <w:trHeight w:val="832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A297" w14:textId="4795AAA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31.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2770" w14:textId="398EFF30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Saphnelo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D073" w14:textId="3DE09F9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anifrolumab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A0AC" w14:textId="6D5744CF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B.150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B89A" w14:textId="47F7BB0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TOCZNIEM RUMIENIOWATYM UKŁADOWYM (TRU, SLE) (ICD-10: M32)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EF25" w14:textId="05CFB353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u dorosłych pacjentów z aktywnym, seropozytywnym toczniem rumieniowatym układowym.</w:t>
            </w:r>
          </w:p>
        </w:tc>
      </w:tr>
      <w:tr w:rsidR="00004386" w:rsidRPr="00CC71A7" w14:paraId="28D56BDA" w14:textId="77777777" w:rsidTr="00CC71A7">
        <w:trPr>
          <w:cantSplit/>
          <w:trHeight w:val="6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F9BE" w14:textId="1B0E219D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</w:pPr>
            <w:r w:rsidRPr="00CC71A7">
              <w:rPr>
                <w:rFonts w:ascii="Lato" w:hAnsi="Lato" w:cstheme="majorHAnsi"/>
                <w:sz w:val="18"/>
                <w:szCs w:val="18"/>
              </w:rPr>
              <w:t>32.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ADDC" w14:textId="43A38F2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Crysvita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C7D4" w14:textId="74B7ADC5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burosumab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1A55" w14:textId="45926044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B.151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14B5" w14:textId="1B83FABB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HIPOFOSFATEMIĘ SPRZĘŻONĄ Z CHROMOSOMEM X (XLH) (ICD-10 E.83.3)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8C3C" w14:textId="77777777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color w:val="000000"/>
                <w:sz w:val="18"/>
                <w:szCs w:val="18"/>
              </w:rPr>
              <w:t>Leczenie chorych w wieku od 1 roku do 17 lat, z rozpoznaną hipofosfatemią sprzężoną z chromosomem X (XLH), potwierdzoną obecnością mutacji w genie PHEX u chorego lub bezpośrednio spokrewnionego członka rodziny (z którym związane jest dziedziczenie sprzężone z chromosomem X) oraz radiologicznie potwierdzoną chorobą kości (RSS ≥2).</w:t>
            </w:r>
          </w:p>
          <w:p w14:paraId="0E6737D4" w14:textId="14AEAB66" w:rsidR="00004386" w:rsidRPr="00CC71A7" w:rsidRDefault="00004386" w:rsidP="00004386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CC71A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</w:tbl>
    <w:p w14:paraId="45E40E76" w14:textId="77777777" w:rsidR="00816802" w:rsidRPr="002667F9" w:rsidRDefault="00816802" w:rsidP="00816802">
      <w:pPr>
        <w:rPr>
          <w:rFonts w:ascii="Lato" w:hAnsi="Lato" w:cstheme="majorHAnsi"/>
          <w:sz w:val="20"/>
          <w:szCs w:val="20"/>
        </w:rPr>
      </w:pPr>
    </w:p>
    <w:p w14:paraId="590BA29A" w14:textId="77777777" w:rsidR="00816802" w:rsidRPr="002667F9" w:rsidRDefault="00816802" w:rsidP="00816802">
      <w:pPr>
        <w:suppressAutoHyphens w:val="0"/>
        <w:rPr>
          <w:rFonts w:ascii="Lato" w:hAnsi="Lato" w:cstheme="majorHAnsi"/>
          <w:sz w:val="20"/>
          <w:szCs w:val="20"/>
        </w:rPr>
      </w:pPr>
      <w:r w:rsidRPr="002667F9">
        <w:rPr>
          <w:rFonts w:ascii="Lato" w:hAnsi="Lato" w:cstheme="majorHAnsi"/>
          <w:sz w:val="20"/>
          <w:szCs w:val="20"/>
        </w:rPr>
        <w:br w:type="page"/>
      </w:r>
    </w:p>
    <w:p w14:paraId="2E69D0B4" w14:textId="77777777" w:rsidR="00816802" w:rsidRPr="002667F9" w:rsidRDefault="00816802" w:rsidP="00816802">
      <w:pPr>
        <w:rPr>
          <w:rFonts w:ascii="Lato" w:hAnsi="Lato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09"/>
        <w:gridCol w:w="3846"/>
        <w:gridCol w:w="8049"/>
      </w:tblGrid>
      <w:tr w:rsidR="00816802" w:rsidRPr="002667F9" w14:paraId="1E1407AE" w14:textId="77777777" w:rsidTr="00E23C62">
        <w:trPr>
          <w:cantSplit/>
          <w:trHeight w:val="20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4C4E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FFFFFF" w:themeColor="background1"/>
                <w:sz w:val="20"/>
                <w:szCs w:val="20"/>
              </w:rPr>
              <w:t>Zmiany w programach lekowych i chemioterapii</w:t>
            </w:r>
          </w:p>
        </w:tc>
      </w:tr>
      <w:tr w:rsidR="00816802" w:rsidRPr="002667F9" w14:paraId="48C5C608" w14:textId="77777777" w:rsidTr="00DA0796">
        <w:trPr>
          <w:cantSplit/>
          <w:trHeight w:val="20"/>
        </w:trPr>
        <w:tc>
          <w:tcPr>
            <w:tcW w:w="21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72A9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65B4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Numer programu lekowego lub numeru załącznika</w:t>
            </w:r>
          </w:p>
        </w:tc>
        <w:tc>
          <w:tcPr>
            <w:tcW w:w="1374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9FF3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Nazwa programu lekowego lub załącznika chemioterapii</w:t>
            </w:r>
          </w:p>
        </w:tc>
        <w:tc>
          <w:tcPr>
            <w:tcW w:w="2876" w:type="pct"/>
            <w:shd w:val="clear" w:color="auto" w:fill="A7E8FF"/>
            <w:vAlign w:val="center"/>
          </w:tcPr>
          <w:p w14:paraId="548D38B8" w14:textId="77777777" w:rsidR="00816802" w:rsidRPr="002667F9" w:rsidRDefault="00816802" w:rsidP="00C61F38">
            <w:pPr>
              <w:spacing w:before="60" w:after="60" w:line="240" w:lineRule="auto"/>
              <w:jc w:val="center"/>
              <w:rPr>
                <w:rFonts w:ascii="Lato" w:hAnsi="Lato" w:cstheme="majorHAnsi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Krótki opis zmian dokonanych w obrębie programu lekowego / załącznika chemioterapii</w:t>
            </w:r>
          </w:p>
        </w:tc>
      </w:tr>
      <w:tr w:rsidR="007854B3" w:rsidRPr="002667F9" w14:paraId="4E890C39" w14:textId="77777777" w:rsidTr="006E1B8C">
        <w:trPr>
          <w:cantSplit/>
          <w:trHeight w:val="1509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3734" w14:textId="0EA3B9F6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892B" w14:textId="1D8C366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3387" w14:textId="2710A08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LECZENIE CHORYCH NA RAKA JELITA GRUBEGO (ICD-10: C18 – C20)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3EC40D3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Kompleksowa zmiana programu lekowego wpływająca na paradygmat leczenia raka jelita grubego.</w:t>
            </w:r>
          </w:p>
          <w:p w14:paraId="597FC54E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Zastosowano techniczny podział na leczenie systemowe oraz chemioterapię. Główną zmianą jest umożliwienie stosowania terapii finansowanych w ramach pierwszej lub kolejnych liniach chemioterapii po uprzednim leczeniu immunoterapią. Ponadto, w stosunku do części terapii finansowanych w programie zniesiono lub zmieniono zdefiniowaną dotychczas linię leczenia zgodnie z aktualną praktyką kliniczną, eliminując przy tym możliwe konflikty terapeutyczne.</w:t>
            </w:r>
          </w:p>
          <w:p w14:paraId="15C11555" w14:textId="6AD3C7C2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Co więcej, poza istotnymi zmianami pod względem klinicznym, zapisy programu zostały maksymalnie ujednolicone, na skutek odejścia od opisów każdej terapii z osobna. Usystematyzowaniem objęto wszystkie zapisy programu obejmujące: kryteria kwalifikacji, kryteria wyłączenia, dawkowanie, badania diagnostyczne i monitorujące.</w:t>
            </w:r>
          </w:p>
          <w:p w14:paraId="47C79417" w14:textId="2B5C291C" w:rsidR="007854B3" w:rsidRPr="007854B3" w:rsidRDefault="007854B3" w:rsidP="007854B3">
            <w:pPr>
              <w:spacing w:before="60" w:after="60" w:line="240" w:lineRule="auto"/>
              <w:ind w:right="97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Wprowadzono również zapisy dotyczące monitorowania skuteczności terapii.</w:t>
            </w:r>
          </w:p>
        </w:tc>
      </w:tr>
      <w:tr w:rsidR="007854B3" w:rsidRPr="002667F9" w14:paraId="3EA88DB2" w14:textId="77777777" w:rsidTr="006E1B8C">
        <w:trPr>
          <w:cantSplit/>
          <w:trHeight w:val="19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999C" w14:textId="3A21D74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C851" w14:textId="6AB497A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B2AE" w14:textId="2D2A8C0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9167C3B" w14:textId="5449CDE4" w:rsidR="007854B3" w:rsidRPr="007854B3" w:rsidRDefault="007854B3" w:rsidP="007854B3">
            <w:pPr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Dodano zapisy dotyczące monitorowania wskaźników skuteczności leczenia wykorzystywanego w programie oraz podkreślono brak możliwości uprzedniego leczenia immunoterapią lub immunochemioterapią pacjentów kwalifikowanych do leczenia immunoterapią w I linii leczenia NDRP.</w:t>
            </w:r>
          </w:p>
        </w:tc>
      </w:tr>
      <w:tr w:rsidR="007854B3" w:rsidRPr="002667F9" w14:paraId="7F757960" w14:textId="77777777" w:rsidTr="00433F1E">
        <w:trPr>
          <w:cantSplit/>
          <w:trHeight w:val="573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FCEB" w14:textId="1BA7BBF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highlight w:val="green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9F4E" w14:textId="78703F9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6EAB" w14:textId="7CB8F0F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151F01E" w14:textId="5E01F027" w:rsidR="007854B3" w:rsidRPr="007854B3" w:rsidRDefault="007854B3" w:rsidP="007854B3">
            <w:pPr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Umożliwienie zastosowania leczenia u pacjentów w III stadium zaawansowania choroby, u których nie jest możliwe leczenie radykalne oraz umożliwienie kontynuacji terapii u chorych z chorobą oligometastatyczną. Dodatkowo wprowadzono możliwość zastosowania terapii u chorych z niedrobnokomórkowym rakiem płuca, u których występują inne nowotwory kontrolowane leczeniem.</w:t>
            </w:r>
          </w:p>
        </w:tc>
      </w:tr>
      <w:tr w:rsidR="007854B3" w:rsidRPr="002667F9" w14:paraId="14C7639F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2439" w14:textId="0CE3D81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A91A" w14:textId="612961F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10CE" w14:textId="0B9FDDA8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E7E77D1" w14:textId="0F072DDB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Dodanie możliwości kwalifikacji pacjentów z przerzutami do ośrodkowego układu nerwowego (OUN) w leczeniu drobnokomórkowego raka płuca durwalumabem albo atezolizumabem.</w:t>
            </w:r>
          </w:p>
        </w:tc>
      </w:tr>
      <w:tr w:rsidR="007854B3" w:rsidRPr="002667F9" w14:paraId="6519FDD0" w14:textId="77777777" w:rsidTr="006E1B8C">
        <w:trPr>
          <w:cantSplit/>
          <w:trHeight w:val="58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1783" w14:textId="1BE4C10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CB57" w14:textId="7E8B9094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B.8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9EC5" w14:textId="4B366A7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CHORYCH NA MIĘSAKI TKANEK MIĘKKICH (ICD-10: C48, C49)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0EBE76D" w14:textId="01A00678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Kompleksowa zmiana budowy programu lekowego dotyczącego leczenia pacjentów z mięsakami tkanek miękkich zainicjowana przeniesieniem sunitynibu do katalogu chemioterapii. Ujednolicono oraz uproszczono kryteria kwalifikacji oraz wyłączenia z programu wobec dwóch pozostałych terapii. W przypadku trabektedyny rozszerzono kryterium włączenia o pacjentów ze stanem sprawności ocenionym na 2 wg ECOG. Zmiany porządkujące objęły także zapisy dotyczące dawkowania, jak również badań diagnostycznych wykonywanych w trakcie kwalifikacji i monitorowania leczenia.</w:t>
            </w:r>
          </w:p>
        </w:tc>
      </w:tr>
      <w:tr w:rsidR="007854B3" w:rsidRPr="002667F9" w14:paraId="6C126BF9" w14:textId="77777777" w:rsidTr="006E1B8C">
        <w:trPr>
          <w:cantSplit/>
          <w:trHeight w:val="19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AE13" w14:textId="31CDA32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EA77" w14:textId="2E93F3F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AFB8" w14:textId="7D043920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4F81389" w14:textId="2610895F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Zmiany ujednolicające zapisy dedykowane programom onkologicznym.</w:t>
            </w:r>
          </w:p>
        </w:tc>
      </w:tr>
      <w:tr w:rsidR="007854B3" w:rsidRPr="002667F9" w14:paraId="46E53710" w14:textId="77777777" w:rsidTr="006E1B8C">
        <w:trPr>
          <w:cantSplit/>
          <w:trHeight w:val="151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AE68" w14:textId="38F9BE54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BA14" w14:textId="2176EA66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5321" w14:textId="6A0B1B9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CHORYCH NA RAKA PIERSI (ICD-10: C50)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C9EE5DE" w14:textId="19D15301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Korekta zapisów dotyczących linii leczenia dla dwóch substancji: talazoparyb oraz sacytuzumab gowetika</w:t>
            </w:r>
            <w:r w:rsidR="006E1B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stosowanych w leczeniu przerzutowego potrójnie ujemnego raka piersi.</w:t>
            </w:r>
          </w:p>
        </w:tc>
      </w:tr>
      <w:tr w:rsidR="007854B3" w:rsidRPr="002667F9" w14:paraId="78C797DD" w14:textId="77777777" w:rsidTr="006E1B8C">
        <w:trPr>
          <w:cantSplit/>
          <w:trHeight w:val="236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613F0" w14:textId="6007733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B0AF" w14:textId="7949822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B.10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02E3" w14:textId="1414036B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PACJENTÓW Z RAKIEM NERKI (ICD-10 C64)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2A5AC17" w14:textId="5ED3D824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Ujednolicenie kryteriów kwalifikacji, wyłączenia oraz badań diagnostycznych, a także monitorowania bezpieczeństwa i skuteczności leczenia.</w:t>
            </w:r>
          </w:p>
        </w:tc>
      </w:tr>
      <w:tr w:rsidR="007854B3" w:rsidRPr="002667F9" w14:paraId="26E1F0B8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EF7B" w14:textId="3B6949E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2904" w14:textId="022FA24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B.12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1E13" w14:textId="0560B3B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9DC5E81" w14:textId="41E50FB2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Połączenie w jeden program lekowy „Leczenie chorych na chłoniaki B-komórkowe (ICD-10: C82, C83, C85)” aktualnie refundowanych terapii we wskazaniu leczenie chorych na chłoniaki B-komórkowe w ramach programów lekowych:</w:t>
            </w:r>
          </w:p>
          <w:p w14:paraId="46227CF0" w14:textId="77777777" w:rsidR="007854B3" w:rsidRPr="007854B3" w:rsidRDefault="007854B3" w:rsidP="007854B3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B.12. „Leczenie chorych na chłoniaki złośliwe (ICD-10 C82.0; C82.1; C82.7)” oraz </w:t>
            </w:r>
          </w:p>
          <w:p w14:paraId="341FE99E" w14:textId="77777777" w:rsidR="007854B3" w:rsidRPr="007854B3" w:rsidRDefault="007854B3" w:rsidP="007854B3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B.93. „Leczenie chorych na chłoniaki rozlane z dużych komórek B oraz inne chłoniaki B-komórkowe (ICD-10: C83, C85)”,</w:t>
            </w:r>
          </w:p>
          <w:p w14:paraId="61A58B68" w14:textId="4752117D" w:rsidR="007854B3" w:rsidRPr="007854B3" w:rsidRDefault="007854B3" w:rsidP="006E1B8C">
            <w:pPr>
              <w:spacing w:before="60" w:after="60" w:line="240" w:lineRule="auto"/>
              <w:ind w:left="142" w:right="97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 jednoczesnym przeniesieniem lenalidomidu z programu lekowego B.93. do katalogu chemioterapii.</w:t>
            </w:r>
          </w:p>
        </w:tc>
      </w:tr>
      <w:tr w:rsidR="007854B3" w:rsidRPr="002667F9" w14:paraId="60FBF0E0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3BEC" w14:textId="51457AD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B6FB" w14:textId="788F96D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AAC0" w14:textId="379B246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SZPIKOWĄ (ICD-10: C92.1)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5CF6864" w14:textId="77777777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Wprowadzenie kompleksowych zmian w zapisach programu lekowego, w tym zmian porządkujących i dostosowujących zapisy programu lekowego do aktualnych wytycznych klinicznych, m.in.:</w:t>
            </w:r>
          </w:p>
          <w:p w14:paraId="10E4A54A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ujednolicenie kryteriów wyłączenia dla wszystkich terapii dostępnych w ramach programu,</w:t>
            </w:r>
          </w:p>
          <w:p w14:paraId="2EA5BD02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uogólnienie zapisów dotyczących stosowania inhibitorów kinazy tyrozynowej w przypadku oporności lub nietolerancji,</w:t>
            </w:r>
          </w:p>
          <w:p w14:paraId="2750C740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dodanie zapisów i wskaźników dotyczących oceny skuteczności terapii,</w:t>
            </w:r>
          </w:p>
          <w:p w14:paraId="30DE7359" w14:textId="60F8ADB3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 jednoczesnym udostępnieniem w ramach programu terapii asciminibem oraz przeniesieniem dazatynibu do katalogu chemioterapii.</w:t>
            </w:r>
          </w:p>
        </w:tc>
      </w:tr>
      <w:tr w:rsidR="007854B3" w:rsidRPr="002667F9" w14:paraId="6758F8B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DB74" w14:textId="7187367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11.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D625" w14:textId="523B6176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1D97" w14:textId="4B16C57B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NIEDOKRWISTOŚCI U CHORYCH Z PRZEWLEKŁĄ NIEWYDOLNOŚĆ NEREK (ICD-10: N18)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3A2E2D0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Wprowadzenie do programu leku Evrenzo (roxadustatum) do leczenia niedokrwistości u pacjentów powyżej 18 roku życia, niedializowanych, chorujących na przewlekłą niewydolność nerek.</w:t>
            </w:r>
          </w:p>
          <w:p w14:paraId="5AE42B50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Kompleksowe przeredagowanie treści programu lekowego.</w:t>
            </w:r>
          </w:p>
          <w:p w14:paraId="4E77DCA8" w14:textId="7E5E8F86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Zmiany w zakresie wieku osób kwalifikowanych do programu i dawkowania poszczególnych terapii (zgodnie z Charakterystykami Produktów Leczniczych objętych finansowaniem w ramach programu lekowego).</w:t>
            </w:r>
          </w:p>
        </w:tc>
      </w:tr>
      <w:tr w:rsidR="007854B3" w:rsidRPr="002667F9" w14:paraId="311502FE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9049" w14:textId="6B42612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09F3" w14:textId="2495DAA8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896A" w14:textId="23F231E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F5A950D" w14:textId="1D7140B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dla leków dotychczas dostępnych w ciężkiej postaci łuszczycy, zniesienie limitu czasu leczenia oraz obniżenie wieku leczenia adalimumabem do pacjentów powyżej 4 roku życia i leczenia ustekinumabem, iksekizumabem, sekukinumabem</w:t>
            </w:r>
            <w:r w:rsidRPr="007854B3">
              <w:rPr>
                <w:rFonts w:ascii="Lato" w:hAnsi="Lato"/>
                <w:sz w:val="18"/>
                <w:szCs w:val="18"/>
              </w:rPr>
              <w:t xml:space="preserve"> 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t>do pacjentów</w:t>
            </w:r>
            <w:r w:rsidRPr="007854B3">
              <w:rPr>
                <w:rFonts w:ascii="Lato" w:hAnsi="Lato"/>
                <w:sz w:val="18"/>
                <w:szCs w:val="18"/>
              </w:rPr>
              <w:t xml:space="preserve">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powyżej 6 roku życia. Dodatkowo wprowadzono monitorowanie skuteczności leczenia przez Zespół Koordynacyjny,  możliwość przeprowadzenia wizyty w programie w formie zdalnej konsultacji oraz uregulowano sprawę leczenia w warunkach domowych.</w:t>
            </w:r>
          </w:p>
        </w:tc>
      </w:tr>
      <w:tr w:rsidR="007854B3" w:rsidRPr="002667F9" w14:paraId="3A9AEA69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46D8" w14:textId="7800992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A6C3" w14:textId="5F60086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3599" w14:textId="6A53A6C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 xml:space="preserve">LECZENIE CHORYCH NA SZPICZAKA 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br/>
              <w:t xml:space="preserve">PLAZMOCYTOWEGO 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br/>
              <w:t>(ICD-10: C90.0)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632E868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Wprowadzenie kompleksowych zmian w dotychczasowym opisie programu lekowego B.54. uwzględniających m.in.: </w:t>
            </w:r>
          </w:p>
          <w:p w14:paraId="0A0AA0C5" w14:textId="77777777" w:rsidR="007854B3" w:rsidRPr="007854B3" w:rsidRDefault="007854B3" w:rsidP="007854B3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udostępnienie nowych, dotychczas nierefundowanych terapii DVTd, DRd, EloPd oraz </w:t>
            </w:r>
          </w:p>
          <w:p w14:paraId="54C667E1" w14:textId="77777777" w:rsidR="007854B3" w:rsidRPr="007854B3" w:rsidRDefault="007854B3" w:rsidP="007854B3">
            <w:pPr>
              <w:pStyle w:val="Akapitzlist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zmiany w kryteriach kwalifikacji dla aktualnie refundowanych terapii Pd, DVd, KRd, IRd,</w:t>
            </w:r>
          </w:p>
          <w:p w14:paraId="2475145D" w14:textId="5A8BF30F" w:rsidR="007854B3" w:rsidRPr="007854B3" w:rsidRDefault="007854B3" w:rsidP="006E1B8C">
            <w:pPr>
              <w:spacing w:before="60" w:after="60" w:line="240" w:lineRule="auto"/>
              <w:ind w:right="97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 jednoczesnym przeniesieniem lenalidomidu z programu lekowego B.54. do katalogu chemioterapii.</w:t>
            </w:r>
          </w:p>
        </w:tc>
      </w:tr>
      <w:tr w:rsidR="007854B3" w:rsidRPr="002667F9" w14:paraId="3BAB9668" w14:textId="77777777" w:rsidTr="006E1B8C">
        <w:trPr>
          <w:cantSplit/>
          <w:trHeight w:val="151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C4CE" w14:textId="4A01281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BE808" w14:textId="60A55A3B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428A" w14:textId="42836512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PACJENTÓW Z WRZODZIEJĄCYM ZAPALENIEM JELITA GRUBEGO (WZJG) (ICD-10: K51)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532747C" w14:textId="45C942FF" w:rsidR="007854B3" w:rsidRPr="007854B3" w:rsidRDefault="007854B3" w:rsidP="007854B3">
            <w:pPr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Zniesienie zapisów dotyczących leczenia cyklosporyną w kolumnie Świadczeniobiorcy dla pacjentów kwalifikujących się do leczenia ciężkiej lub umiarkowanej postaci wrzodziejącego zapalenia jelita grubego.</w:t>
            </w:r>
          </w:p>
        </w:tc>
      </w:tr>
      <w:tr w:rsidR="007854B3" w:rsidRPr="002667F9" w14:paraId="00A61D4E" w14:textId="77777777" w:rsidTr="006E1B8C">
        <w:trPr>
          <w:cantSplit/>
          <w:trHeight w:val="988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F7BD" w14:textId="296BE4FB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B6CB" w14:textId="442B54F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7F3C" w14:textId="4D67E6D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7B6F372" w14:textId="2610A9A4" w:rsidR="007854B3" w:rsidRPr="007854B3" w:rsidRDefault="007854B3" w:rsidP="007854B3">
            <w:pPr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Zasadniczą zmianą w programie lekowym jest kompleksowe uwzględnienie wszystkich opcji leczenia w ramach jednego programu lekowego, czego efektem, jest zmiana jego nazwy z „B.56. Leczenie chorych na opornego na kastrację raka gruczołu krokowego (ICD-10: C61)” na „B.56. Leczenie chorych na raka gruczołu krokowego (ICD-10: C61)”. Zmiana ta obejmuje uwzględnienie refundowanych już w ramach obecnego programu opcji terapeutycznych, jak również nowych możliwości terapeutycznych znajdujących się w procesie refundacyjnym (tj. apalutamid w mHSPC oraz kabazytaksel, olaparyb w mCRPC). Zmiany zapisów mają charakter porządkujący oraz dostosowują zapisy programu lekowego do aktualnych wytycznych klinicznych. Główną zmianą są zapisy odnoszące się do progresji choroby w kryteriach wyłączenia z programu lekowego.</w:t>
            </w:r>
          </w:p>
        </w:tc>
      </w:tr>
      <w:tr w:rsidR="007854B3" w:rsidRPr="002667F9" w14:paraId="4855223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E4C8" w14:textId="4011B9A4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highlight w:val="green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9FE7" w14:textId="6B48B54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B.61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3330" w14:textId="68B498F6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CYSTYNOZĘ NEFROPATYCZNĄ (ICD-10: E72.0)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4EFA337" w14:textId="735D00BD" w:rsidR="007854B3" w:rsidRPr="007854B3" w:rsidRDefault="007854B3" w:rsidP="007854B3">
            <w:pPr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Dodano zapisy porządkujące schemat leczenia chorych na cystynozę nefropatyczną w ramach programu lekowego. </w:t>
            </w:r>
          </w:p>
        </w:tc>
      </w:tr>
      <w:tr w:rsidR="007854B3" w:rsidRPr="002667F9" w14:paraId="554DE859" w14:textId="77777777" w:rsidTr="006E1B8C">
        <w:trPr>
          <w:cantSplit/>
          <w:trHeight w:val="1718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3CEF" w14:textId="030B9E00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17.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7ADB" w14:textId="6497843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B.65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222F" w14:textId="23B9443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CHORYCH NA OSTRĄ BIAŁACZKĘ LIMFOBLASTYCZNĄ (ICD-10: C91.0)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57A0DCE" w14:textId="77777777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Wprowadzenie kompleksowych zmian w zapisach programu lekowego, m.in.:</w:t>
            </w:r>
          </w:p>
          <w:p w14:paraId="067050EF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 porządkujących i dostosowujących zapisy programu lekowego do aktualnych wytycznych klinicznych,</w:t>
            </w:r>
          </w:p>
          <w:p w14:paraId="1DDDA40A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umożliwienie leczenia domowego blinatumomabem u dzieci,</w:t>
            </w:r>
          </w:p>
          <w:p w14:paraId="5AEAC47C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umożliwienie zastosowania blinatumomabu u dzieci i dorosłych ze wznową, i u których nie jest planowane wykonanie przeszczepienia allogenicznych krwiotwórczych komórek macierzystych (alloHSCT),</w:t>
            </w:r>
          </w:p>
          <w:p w14:paraId="7B80B35E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contextualSpacing w:val="0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do leczenia tisagenlecleucelem (terapia CAR-T) także nawrotu pozaszpikowego ostrej białaczki limfoblastycznej,</w:t>
            </w:r>
          </w:p>
          <w:p w14:paraId="136E13B0" w14:textId="77777777" w:rsidR="007854B3" w:rsidRPr="007854B3" w:rsidRDefault="007854B3" w:rsidP="007854B3">
            <w:pPr>
              <w:pStyle w:val="Akapitzlist"/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before="120" w:after="12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dodanie zapisów i wskaźników dotyczących oceny skuteczności terapii.</w:t>
            </w:r>
          </w:p>
          <w:p w14:paraId="2C6C643B" w14:textId="00F60834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Jednocześnie wprowadzono modyfikacje związane z przeniesieniem dazatynibu do katalogu chemioterapii.</w:t>
            </w:r>
          </w:p>
        </w:tc>
      </w:tr>
      <w:tr w:rsidR="007854B3" w:rsidRPr="002667F9" w14:paraId="540A9979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C0E1" w14:textId="2B7AAA5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highlight w:val="green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7F6F" w14:textId="0437C9E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9D5E" w14:textId="544E48E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T-KOMÓRKOWE (ICD-10: C84)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A4F9F15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Połączenie w jeden program lekowy „Leczenie chorych na chłoniaki T-komórkowe (ICD-10: C84)” aktualnie refundowanych terapii we wskazaniu leczenie chorych na chłoniaki T-komórkowe w ramach programów lekowych:</w:t>
            </w:r>
          </w:p>
          <w:p w14:paraId="3B96C850" w14:textId="77777777" w:rsidR="007854B3" w:rsidRPr="007854B3" w:rsidRDefault="007854B3" w:rsidP="007854B3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B.66. „Leczenie chorych na pierwotne chłoniaki skórne T–komórkowe (ICD – 10: C 84)” oraz</w:t>
            </w:r>
          </w:p>
          <w:p w14:paraId="228F7D2E" w14:textId="77777777" w:rsidR="007854B3" w:rsidRPr="007854B3" w:rsidRDefault="007854B3" w:rsidP="007854B3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B.77. „Leczenie chorych na chłoniaki CD30+ (C 81; C 84.5)”, z jednoczesnym:</w:t>
            </w:r>
          </w:p>
          <w:p w14:paraId="75C21890" w14:textId="77777777" w:rsidR="007854B3" w:rsidRPr="007854B3" w:rsidRDefault="007854B3" w:rsidP="007854B3">
            <w:pPr>
              <w:pStyle w:val="Akapitzlist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udostępnieniem terapii brentuksymabem vedotin w skojarzeniu z cyklofosfamidem, doksorubicyną i prednizonem (CHP) w I linii leczenia dorosłych chorych na układowego chłoniaka anaplastycznego z dużych komórek (sALCL).</w:t>
            </w:r>
          </w:p>
          <w:p w14:paraId="1358E309" w14:textId="323537C3" w:rsidR="007854B3" w:rsidRPr="007854B3" w:rsidRDefault="007854B3" w:rsidP="007854B3">
            <w:pPr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Zniesienie kryterium kwalifikacyjnego do leczenia chorych na chłoniaka sALCL ze stwierdzonym nawrotem lub opornością na leczenie, tj.: „nieobecność przeciwwskazań do allogenicznego przeszczepienia komórek krwiotwórczych w razie uzyskania odpowiedzi częściowej”.</w:t>
            </w:r>
          </w:p>
        </w:tc>
      </w:tr>
      <w:tr w:rsidR="007854B3" w:rsidRPr="002667F9" w14:paraId="5BD007B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AC51" w14:textId="1BE59AC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7E5C" w14:textId="2A3EF8C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B.71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6E95" w14:textId="4CDB84B2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TERAPIĄ BEZINTERFERONOWĄ CHORYCH NA PRZEWLEKŁE WIRUSOWE ZAPALENIE WĄTROBY TYPU C (ICD-10: B18.2)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CE517D4" w14:textId="1C7E91A9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Zmiany w programie lekowym o charakterze porządkującym. Zaktualizowano wskaźniki dokumentujące stopień zaawansowania choroby wątroby poprzez dodanie wskaźnika APRI oraz FIB-4. Zniesiono konieczność oznaczania genotypu HCV w przypadku pacjentów włączonych pierwszorazowo do terapii pangenotypowej. Dodatkowo zmianie uległy zapisy dotyczące monitorowania leczenia w programie – w określonych przypadkach klinicznych możliwe jest odstąpienie od wizyt monitorujących leczenie w trakcie terapii.</w:t>
            </w:r>
          </w:p>
        </w:tc>
      </w:tr>
      <w:tr w:rsidR="007854B3" w:rsidRPr="002667F9" w14:paraId="742B6BA4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8249" w14:textId="5270AA7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EA95" w14:textId="5CAB8C6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B.75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3B95" w14:textId="3C355029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ZIARNINIAKOWATOŚCI Z ZAPALENIEM NACZYŃ (GPA) LUB MIKROSKOPOWEGO ZAPALENIA NACZYŃ (MPA) (ICD-10: M31.3, M31.8)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CBB9AB8" w14:textId="64511673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Wprowadzenie zmian zapisów dotyczących leczenia podtrzymującego rytuksymabem oraz związane z tym zmiany w zakresie kryteriów zakończenia leczenia w programie lekowym i badań diagnostycznych.</w:t>
            </w:r>
          </w:p>
        </w:tc>
      </w:tr>
      <w:tr w:rsidR="007854B3" w:rsidRPr="002667F9" w14:paraId="34FB6E0A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AB24" w14:textId="2B8C0A09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highlight w:val="green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21.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59CC" w14:textId="3821D010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B.77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B929" w14:textId="737C408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KLASYCZNEGO CHŁONIAKA HODGKINA (ICD-10: C81)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0C4E5CC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Połączenie w jeden program lekowy „Leczenie chorych na klasycznego chłoniaka Hodgkina (ICD-10: C81)” aktualnie refundowanych terapii we wskazaniu leczenie chorych na chłoniaka Hodgkina w ramach programów lekowych:</w:t>
            </w:r>
          </w:p>
          <w:p w14:paraId="1CB079BC" w14:textId="77777777" w:rsidR="007854B3" w:rsidRPr="007854B3" w:rsidRDefault="007854B3" w:rsidP="007854B3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B.77. „Leczenie chorych na chłoniaki CD30+ (C 81; C 84.5)” oraz</w:t>
            </w:r>
          </w:p>
          <w:p w14:paraId="393AE4BC" w14:textId="77777777" w:rsidR="007854B3" w:rsidRPr="007854B3" w:rsidRDefault="007854B3" w:rsidP="007854B3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B.100. „Leczenie chorych na oporną i nawrotową postać klasycznego chłoniaka Hodgkina z zastosowaniem niwolumabu (ICD-10: C81)”, z jednoczesnym:</w:t>
            </w:r>
          </w:p>
          <w:p w14:paraId="2365D18F" w14:textId="77777777" w:rsidR="007854B3" w:rsidRPr="007854B3" w:rsidRDefault="007854B3" w:rsidP="007854B3">
            <w:pPr>
              <w:pStyle w:val="Akapitzlist"/>
              <w:numPr>
                <w:ilvl w:val="0"/>
                <w:numId w:val="1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zniesieniem kryterium kwalifikacyjnego do leczenia brentuksymabem vedotin chorych na chłoniaka Hodgkina ze stwierdzonym nawrotem lub opornością na leczenie, tj.: „nieobecność przeciwwskazań do allogenicznego przeszczepienia komórek krwiotwórczych w razie uzyskania odpowiedzi częściowej”.</w:t>
            </w:r>
          </w:p>
          <w:p w14:paraId="263E0967" w14:textId="1425213C" w:rsidR="007854B3" w:rsidRPr="007854B3" w:rsidRDefault="007854B3" w:rsidP="007854B3">
            <w:pPr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Zmiany w kryteriach kwalifikacji do leczenia niwolumabem (umożliwienie leczenia w przypadku nawrotu lub oporności na leczenie brentuksymabem vedotin, gdy auto-HSCT nie stanowiło opcji leczenia, umożliwienie leczenia pacjentów o stanie sprawności wg ECOG: 2).</w:t>
            </w:r>
          </w:p>
        </w:tc>
      </w:tr>
      <w:tr w:rsidR="007854B3" w:rsidRPr="002667F9" w14:paraId="1946A41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4CEA" w14:textId="1338BAD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5CD0" w14:textId="35F5F76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6D0F" w14:textId="05F02C04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PRZEWLEKŁĄ BIAŁACZKĘ LIMFOCYTOWĄ (ICD-10: C91.1)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9D54E9F" w14:textId="65123C1D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Połączenie w jeden scalony program lekowy B.79. „Leczenie chorych na przewlekłą białaczkę limfocytową (ICD-10: C91.1)” aktualnie refundowanych terapii w ramach programów lekowych:</w:t>
            </w:r>
          </w:p>
          <w:p w14:paraId="37361A4E" w14:textId="77777777" w:rsidR="007854B3" w:rsidRPr="007854B3" w:rsidRDefault="007854B3" w:rsidP="007854B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B.79. „Leczenie przewlekłej białaczki limfocytowej obinutuzumabem (ICD 10: C.91.1)”, </w:t>
            </w:r>
          </w:p>
          <w:p w14:paraId="319BF56F" w14:textId="77777777" w:rsidR="007854B3" w:rsidRPr="007854B3" w:rsidRDefault="007854B3" w:rsidP="007854B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B.92. „Leczenie chorych na przewlekłą białaczkę limfocytową ibrutynibem (ICD 10: C91.1)”, </w:t>
            </w:r>
          </w:p>
          <w:p w14:paraId="472367A9" w14:textId="77777777" w:rsidR="007854B3" w:rsidRPr="007854B3" w:rsidRDefault="007854B3" w:rsidP="007854B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B.103. „Leczenie chorych na przewlekłą białaczkę limfocytową wenetoklaksem (ICD-10: C.91.1)”, z jednoczesnym: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ab/>
            </w:r>
          </w:p>
          <w:p w14:paraId="344C8B0C" w14:textId="77777777" w:rsidR="007854B3" w:rsidRPr="007854B3" w:rsidRDefault="007854B3" w:rsidP="007854B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udostępnienie terapii ibrutynibem i akalabrutynibem w I linii leczenia</w:t>
            </w:r>
            <w:r w:rsidRPr="007854B3">
              <w:rPr>
                <w:rFonts w:ascii="Lato" w:hAnsi="Lato"/>
                <w:sz w:val="18"/>
                <w:szCs w:val="18"/>
              </w:rPr>
              <w:t xml:space="preserve">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dorosłych chorych na przewlekłą białaczkę limfocytową z delecją 17p (del17p) / mutacją w genie </w:t>
            </w:r>
            <w:r w:rsidRPr="007854B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7854B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niezmutowanym statusem </w:t>
            </w:r>
            <w:r w:rsidRPr="007854B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IgHV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oraz</w:t>
            </w:r>
          </w:p>
          <w:p w14:paraId="777F1E3A" w14:textId="77777777" w:rsidR="007854B3" w:rsidRPr="007854B3" w:rsidRDefault="007854B3" w:rsidP="007854B3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udostępnienie terapii akalabrutynibem od II linii leczenia.</w:t>
            </w:r>
          </w:p>
          <w:p w14:paraId="175D0CC5" w14:textId="77777777" w:rsidR="006E1B8C" w:rsidRDefault="006E1B8C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  <w:p w14:paraId="0C1B9598" w14:textId="079918E7" w:rsidR="007854B3" w:rsidRPr="007854B3" w:rsidRDefault="007854B3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Rozszerzenie aktualnie refundowanego wskazania dla ibrutynibu od II linii leczenia pacjentów bez delecji 17p (del17p) / mutacją w genie </w:t>
            </w:r>
            <w:r w:rsidRPr="007854B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(mut</w:t>
            </w:r>
            <w:r w:rsidRPr="007854B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TP53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</w:tc>
      </w:tr>
      <w:tr w:rsidR="007854B3" w:rsidRPr="002667F9" w14:paraId="1460099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21D6" w14:textId="02643A7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23.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F133" w14:textId="6D2D16B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FF14" w14:textId="75CE570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CHORYCH NA NOWOTWORY MIELOPROLIFERACYJNE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Ph (-) (ICD-10: D45, D47.1)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7ECB56E" w14:textId="237678C3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Zmiana nazwy programu lekowego z dotychczasowej </w:t>
            </w:r>
            <w:r w:rsidR="006E1B8C">
              <w:rPr>
                <w:rFonts w:ascii="Lato" w:hAnsi="Lato" w:cstheme="majorHAnsi"/>
                <w:color w:val="000000"/>
                <w:sz w:val="18"/>
                <w:szCs w:val="18"/>
              </w:rPr>
              <w:t>L</w:t>
            </w:r>
            <w:r w:rsidR="006E1B8C"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eczenie mielofibrozy pierwotnej oraz mielofibrozy wtórnej w przebiegu czerwienicy prawdziwej i nadpłytkowości samoistnej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(ICD-10: D47.1) w związku z udostępnieniem w ramach programu terapii ruksolitynibem w leczeniu chorych na czerwienicę prawdziwą.</w:t>
            </w:r>
          </w:p>
          <w:p w14:paraId="1EF8FE60" w14:textId="77777777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Wprowadzenie zmian porządkujących oraz dostosowujących zapisy programu lekowego do aktualnych wytycznych klinicznych, m.in.:</w:t>
            </w:r>
          </w:p>
          <w:p w14:paraId="5143724E" w14:textId="77777777" w:rsidR="007854B3" w:rsidRPr="007854B3" w:rsidRDefault="007854B3" w:rsidP="007854B3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zmiany w kryteriach kwalifikacji do leczenia chorych na pierwotną mielofibrozę (PMF) lub mielofibrozę w przebiegu czerwienicy prawdziwej (Post-PV MF) lub mielofibrozę w przebiegu nadpłytkowości samoistnej (Post-ET MF):</w:t>
            </w:r>
          </w:p>
          <w:p w14:paraId="2384F47A" w14:textId="77777777" w:rsidR="007854B3" w:rsidRPr="007854B3" w:rsidRDefault="007854B3" w:rsidP="006E1B8C">
            <w:pPr>
              <w:pStyle w:val="Akapitzlist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before="120"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usunięcie warunku wcześniejszej splenektomii,</w:t>
            </w:r>
          </w:p>
          <w:p w14:paraId="3EA3B381" w14:textId="77777777" w:rsidR="007854B3" w:rsidRPr="007854B3" w:rsidRDefault="007854B3" w:rsidP="006E1B8C">
            <w:pPr>
              <w:pStyle w:val="Akapitzlist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before="120"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uogólnienie zapisu dla kryterium dotyczącego powiększenia śledziony,</w:t>
            </w:r>
          </w:p>
          <w:p w14:paraId="7F4124AB" w14:textId="77777777" w:rsidR="006E1B8C" w:rsidRDefault="007854B3" w:rsidP="006E1B8C">
            <w:pPr>
              <w:pStyle w:val="Akapitzlist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before="120"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obligatoryjne spełnienie przynajmniej jednego z dwóch poniższych kryteriów: kryterium powiększenia śledziony oraz kryterium w zakresie identyfikacji objawów ocenianych w skali MPN-SAF TSS (dotychczas obligatoryjne było spełnienie obu tych kryteriów),</w:t>
            </w:r>
          </w:p>
          <w:p w14:paraId="7BE17C07" w14:textId="1035E93B" w:rsidR="007854B3" w:rsidRPr="006E1B8C" w:rsidRDefault="007854B3" w:rsidP="006E1B8C">
            <w:pPr>
              <w:pStyle w:val="Akapitzlist"/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before="120"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E1B8C">
              <w:rPr>
                <w:rFonts w:ascii="Lato" w:hAnsi="Lato" w:cstheme="majorHAnsi"/>
                <w:color w:val="000000"/>
                <w:sz w:val="18"/>
                <w:szCs w:val="18"/>
              </w:rPr>
              <w:t>dodanie zapisów i wskaźników dotyczących oceny skuteczności terapii.</w:t>
            </w:r>
          </w:p>
        </w:tc>
      </w:tr>
      <w:tr w:rsidR="007854B3" w:rsidRPr="002667F9" w14:paraId="42262E78" w14:textId="77777777" w:rsidTr="006E1B8C">
        <w:trPr>
          <w:cantSplit/>
          <w:trHeight w:val="313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BF9E" w14:textId="5A2302A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EF55" w14:textId="36347BD6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B.85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6F1D" w14:textId="167F8E98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GRUCZOLAKORAKIEM TRZUSTKI (ICD-10: C25.0, C25.1, C25.2, C25.3, C25.5, C25.6, C25.7, C25.8, C25.9)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F3F8033" w14:textId="368E2C7E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Zmiana sposobu potwierdzania mutacji germinalnej BRCA1/BRCA2.</w:t>
            </w:r>
          </w:p>
        </w:tc>
      </w:tr>
      <w:tr w:rsidR="007854B3" w:rsidRPr="002667F9" w14:paraId="0B5BAE5A" w14:textId="77777777" w:rsidTr="006E1B8C">
        <w:trPr>
          <w:cantSplit/>
          <w:trHeight w:val="1494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744A" w14:textId="0C2A89D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F268" w14:textId="2D930C3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B.90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4A1C" w14:textId="7D478804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LECZENIE ZABURZEŃ MOTORYCZNYCH W PRZEBIEGU ZAAWANSOWANEJ CHOROBY PARKINSONA (ICD-10: G.20)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C3A07F3" w14:textId="77777777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Wprowadzenie zmian w treści programu lekowego w zakresie:</w:t>
            </w:r>
          </w:p>
          <w:p w14:paraId="194FD0EB" w14:textId="77777777" w:rsidR="007854B3" w:rsidRPr="007854B3" w:rsidRDefault="007854B3" w:rsidP="007854B3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aktualizacji kryteriów diagnostycznych na MDS Clinical Diagnostic Criteria for Parkinson’s Disease;</w:t>
            </w:r>
          </w:p>
          <w:p w14:paraId="260E8078" w14:textId="77777777" w:rsidR="007854B3" w:rsidRPr="007854B3" w:rsidRDefault="007854B3" w:rsidP="007854B3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aktualizacji kryteriów czasu trwania choroby na co najmniej 5 lat;</w:t>
            </w:r>
          </w:p>
          <w:p w14:paraId="15633ECF" w14:textId="77777777" w:rsidR="007854B3" w:rsidRPr="007854B3" w:rsidRDefault="007854B3" w:rsidP="007854B3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aktualizacji kryteriów dotyczących występowania stanów off/on i dyskinez;</w:t>
            </w:r>
          </w:p>
          <w:p w14:paraId="1B6D3C0E" w14:textId="77777777" w:rsidR="007854B3" w:rsidRPr="007854B3" w:rsidRDefault="007854B3" w:rsidP="007854B3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doprecyzowania kryteriów potwierdzonej skuteczności lewodopy;</w:t>
            </w:r>
          </w:p>
          <w:p w14:paraId="48A5A90C" w14:textId="77777777" w:rsidR="007854B3" w:rsidRPr="007854B3" w:rsidRDefault="007854B3" w:rsidP="007854B3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uwzględnienia konieczności wcześniejszego stosowania przynajmniej trzech leków przeciwparkinsonowych; (wymóg dotyczy jedynie kwalifikacji do lewodopy z karbidopą);</w:t>
            </w:r>
          </w:p>
          <w:p w14:paraId="20D0F535" w14:textId="16530189" w:rsidR="007854B3" w:rsidRPr="007854B3" w:rsidRDefault="007854B3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aktualizacji kryteriów oceny odpowiedzi na leczenie i ewentualnego wyłączenia pacjentów z programu.</w:t>
            </w:r>
          </w:p>
        </w:tc>
      </w:tr>
      <w:tr w:rsidR="007854B3" w:rsidRPr="002667F9" w14:paraId="235B536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9C9A" w14:textId="56F678D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8AF4" w14:textId="01996A58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5F4C" w14:textId="75915A5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A2CCA57" w14:textId="66BB7CA8" w:rsidR="007854B3" w:rsidRPr="007854B3" w:rsidRDefault="007854B3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Ujednolicenie kryteriów kwalifikacji do programu dla eltrombopagu, romiplostymu i</w:t>
            </w:r>
            <w:r w:rsidR="006E1B8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awatrombopagu poprzez usunięcie zapisu o przeciwskazaniu do wykonania splenektomii lub nieskuteczności splenektomii. Wydłużeniu uległ okres między badaniami okulistycznymi w przypadku leczenia eltrombopagiem z 3 na 12 miesięcy.</w:t>
            </w:r>
          </w:p>
        </w:tc>
      </w:tr>
      <w:tr w:rsidR="007854B3" w:rsidRPr="002667F9" w14:paraId="7665124A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5D8C" w14:textId="696A743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highlight w:val="green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lastRenderedPageBreak/>
              <w:t>27.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B335" w14:textId="41AA1BB6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A895" w14:textId="5B0B8A9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CHORYCH NA PIERWOTNĄ MAŁOPŁYTKOWOŚĆ IMMUNOLOGICZNĄ (ICD-10: D69.3)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42D3C0A" w14:textId="64D15EE8" w:rsidR="007854B3" w:rsidRPr="007854B3" w:rsidRDefault="007854B3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Dodanie trwałej remisji choroby niewymagającej jakiegokolwiek leczenia jako kryterium wyłączenia oraz doprecyzowanie zapisów w kryteriach kwalifikacji do leczenia awatrombopagiem.</w:t>
            </w:r>
          </w:p>
        </w:tc>
      </w:tr>
      <w:tr w:rsidR="007854B3" w:rsidRPr="002667F9" w14:paraId="72BFA2C8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54BD" w14:textId="33F8FFA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B825" w14:textId="7E8BB1A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22FB" w14:textId="502BBED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CHORYCH NA ZAPALENIE BŁONY NACZYNIOWEJ OKA (ZBN) – CZĘŚCI POŚREDNIEJ, ODCINKA TYLNEGO LUB CAŁEJ BŁONY NACZYNIOWEJ (ICD-10: H20.0, H30.0)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9462B15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Wprowadzenie do programu leku Ozurdex (dexamethasonum) do leczenia klinicznie znamiennego obrzęku plamki w przebiegu zapalenia błony naczyniowej oka.</w:t>
            </w:r>
          </w:p>
          <w:p w14:paraId="71DAD238" w14:textId="53EF95B3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Kompleksowa zmiana programu lekowego B.105 obejmująca swoim zakresem modyfikację zapisów dotyczących kryteriów kwalifikacji, kryteriów wyłączenia z programu, dawkowania oraz badań diagnostycznych i monitorujących skuteczność terapii stosowany w ramach programu.</w:t>
            </w:r>
          </w:p>
        </w:tc>
      </w:tr>
      <w:tr w:rsidR="007854B3" w:rsidRPr="002667F9" w14:paraId="593BF1C9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C0BF" w14:textId="727480C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29.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2A77" w14:textId="2062257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B.119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F139" w14:textId="7045166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ZE ZRÓŻNICOWANYM RAKIEM TARCZYCY (ICD-10 C 73)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E6BD0F5" w14:textId="257A7AFD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 xml:space="preserve">Kompleksowa przebudowa programu lekowego. Liczne zmiany porządkujące i ujednolicające dedykowane 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br/>
              <w:t xml:space="preserve">programom onkologicznym. Modyfikacja zapisów obejmuje kryteria kwalifikacji, kryteria wyłączenia, opis 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br/>
              <w:t xml:space="preserve">dawkowania, badania diagnostyczne oraz monitorowanie leczenia i programu. Dodano zapisy dotyczące 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br/>
              <w:t>monitorowania wskaźników skuteczności leczenia wykorzystywanego w programie.</w:t>
            </w:r>
          </w:p>
        </w:tc>
      </w:tr>
      <w:tr w:rsidR="007854B3" w:rsidRPr="002667F9" w14:paraId="1125FEB4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4EEF" w14:textId="7A7E688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FAAB" w14:textId="57C2C1B9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B.122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55C6" w14:textId="658EAA6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ZAPOBIEGAWCZE CHORYCH Z NAWRACAJĄCYMI NAPADAMI DZIEDZICZNEGO OBRZĘKU NACZYNIORUCHOWEGO O CIĘŻKIM PRZEBIEGU (ICD-10: D 84.1)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D2CF7BB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 xml:space="preserve">Zmiany umożliwiające pacjentom leczenie w warunkach domowych. </w:t>
            </w:r>
          </w:p>
          <w:p w14:paraId="47227D19" w14:textId="31289C7F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Dodano zapisy dotyczące monitorowania wskaźników skuteczności i bezpieczeństwa leczenia wykorzystywane w programie.</w:t>
            </w:r>
          </w:p>
        </w:tc>
      </w:tr>
      <w:tr w:rsidR="007854B3" w:rsidRPr="002667F9" w14:paraId="69D6B86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6058" w14:textId="5E7DE40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B5F5" w14:textId="050DCDE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B.125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55D" w14:textId="7D9FD274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KOLCZYSTOKOMÓRKOWEGO RAKA SKÓRY (ICD-10: C44.12, C44.22, C44.32, C44.42, C44.52, C44.62, C44.72, C44.82, C44.92)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759A24D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Zmiany w programie lekowym o charakterze porządkującym.</w:t>
            </w:r>
          </w:p>
          <w:p w14:paraId="3517B710" w14:textId="44B44F0C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Między innymi: w kryteriach kwalifikacji dodano zapis o stopniu sprawności i uproszczono punkt dotyczący wydolności narządowej, do kryteriów wyłączenia z programu dodano udokumentowaną progresję choroby oraz doprecyzowano punkt odnośnie braku współpracy pacjenta z lekarzem, do badań przy kwalifikacji dodano testy na HCV i HBV.</w:t>
            </w:r>
          </w:p>
        </w:tc>
      </w:tr>
      <w:tr w:rsidR="007854B3" w:rsidRPr="002667F9" w14:paraId="4DBDEDA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D3FB" w14:textId="1EA1D5A9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9C0" w14:textId="66CD0DA8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2E14" w14:textId="6391C66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ŚRÓDMIĄŻSZOWĄ PŁUC (ICD-10: D86, J67.0-J67.9, J84.1, J84.8, J84.9, J99.0, J99.1, M34)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BDB7901" w14:textId="6A74B46E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Zmiany w programie lekowym o charakterze porządkującym. Rozszerzenie populacji o pacjentów z chorobą śródmiąższową płuc przebiegającą z włóknieniem o fenotypie postępującym (PF-ILD).</w:t>
            </w:r>
          </w:p>
        </w:tc>
      </w:tr>
      <w:tr w:rsidR="007854B3" w:rsidRPr="002667F9" w14:paraId="6BF10708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C084" w14:textId="75E5BC88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4E02" w14:textId="65CCDD1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B.148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9C8F" w14:textId="7F49B76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LECZENIE CHORYCH NA RAKA ENDOMETRIUM (ICD10: C54)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60D011F" w14:textId="4A0DEFA4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Zmiana zapisu w pkt. 3 kryteriów kwalifikacji dot. zidentyfikowania obecności upośledzenia naprawy nieprawidłowo sparowanych nukleotydów (ang. mismatch repair deficient, dMMR) lub wysokiej niestabilności mikrosatelitarnej (ang. microsatellite instabilityhigh, MSIH) potwierdzonej tylko z wykorzystaniem zwalidowanego testu.</w:t>
            </w:r>
          </w:p>
        </w:tc>
      </w:tr>
      <w:tr w:rsidR="007854B3" w:rsidRPr="002667F9" w14:paraId="275677D7" w14:textId="77777777" w:rsidTr="006E1B8C">
        <w:trPr>
          <w:cantSplit/>
          <w:trHeight w:val="913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5DBC" w14:textId="3358B9C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C684" w14:textId="7ABD16D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C.70.d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B243" w14:textId="43221EA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/>
                <w:i/>
                <w:iCs/>
                <w:sz w:val="18"/>
                <w:szCs w:val="18"/>
              </w:rPr>
              <w:t>IMATINIB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766CF6" w14:textId="031D3426" w:rsidR="007854B3" w:rsidRPr="006E1B8C" w:rsidRDefault="007854B3" w:rsidP="006E1B8C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Zmiana kategorii dostępności refundacyjnej imatynibu</w:t>
            </w:r>
            <w:r w:rsidR="006E1B8C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Pr="006E1B8C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C.70.d</w:t>
            </w:r>
          </w:p>
          <w:p w14:paraId="17B57501" w14:textId="613EE5CB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7854B3" w:rsidRPr="002667F9" w14:paraId="521C9AC4" w14:textId="77777777" w:rsidTr="006E1B8C">
        <w:trPr>
          <w:cantSplit/>
          <w:trHeight w:val="723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5DB8" w14:textId="59FEC559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9A8" w14:textId="5FB4039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C.82.c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A564" w14:textId="17FBA030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BEVACIZUMAB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B3D1879" w14:textId="77777777" w:rsidR="007854B3" w:rsidRPr="007854B3" w:rsidRDefault="007854B3" w:rsidP="006E1B8C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Zniesienie dotychczasowych zapisów ograniczających stosowanie bewacyzumabu wyłącznie w dwóch liniach leczenia, w skojarzeniu z konkretnymi dubletami chemioterapii.</w:t>
            </w:r>
          </w:p>
          <w:p w14:paraId="5349D27B" w14:textId="61E094ED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Nowe zapisy załącznika C.82.c wskazują na konieczność skojarzenia bewacyzumabu z chemioterapią zawierającą fluoropirymidynę. Ponadto, bewacyzumab może być zastosowany u danego pacjenta tylko w jednej, wybranej linii leczenia.</w:t>
            </w:r>
          </w:p>
        </w:tc>
      </w:tr>
      <w:tr w:rsidR="007854B3" w:rsidRPr="002667F9" w14:paraId="2A1116E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638B" w14:textId="13B9254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DB1F" w14:textId="0545B6D2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C.84.a</w:t>
            </w:r>
          </w:p>
          <w:p w14:paraId="6D0D233A" w14:textId="5E834AAA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C.84.b</w:t>
            </w:r>
          </w:p>
          <w:p w14:paraId="3B91B166" w14:textId="6DD43452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C.84.c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7117" w14:textId="1974767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LENALIDOMIDUM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3F12B4A" w14:textId="77777777" w:rsidR="007854B3" w:rsidRPr="007854B3" w:rsidRDefault="007854B3" w:rsidP="007854B3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Zmiana kategorii dostępności refundacyjnej dla lenalidomidu:</w:t>
            </w:r>
          </w:p>
          <w:p w14:paraId="761685FA" w14:textId="77777777" w:rsidR="007854B3" w:rsidRPr="007854B3" w:rsidRDefault="007854B3" w:rsidP="007854B3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B.54. do katalogu chemioterapii C.84.a,</w:t>
            </w:r>
          </w:p>
          <w:p w14:paraId="633EF770" w14:textId="77777777" w:rsidR="006E1B8C" w:rsidRDefault="007854B3" w:rsidP="006E1B8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B.84. do katalogu chemioterapii C.84.b,</w:t>
            </w:r>
          </w:p>
          <w:p w14:paraId="05B273CC" w14:textId="15A482EA" w:rsidR="007854B3" w:rsidRPr="006E1B8C" w:rsidRDefault="007854B3" w:rsidP="006E1B8C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E1B8C">
              <w:rPr>
                <w:rFonts w:ascii="Lato" w:hAnsi="Lato" w:cstheme="majorHAnsi"/>
                <w:color w:val="000000"/>
                <w:sz w:val="18"/>
                <w:szCs w:val="18"/>
              </w:rPr>
              <w:t>z programu lekowego B.93. do katalogu chemioterapii C.84.c.</w:t>
            </w:r>
          </w:p>
        </w:tc>
      </w:tr>
      <w:tr w:rsidR="007854B3" w:rsidRPr="002667F9" w14:paraId="179584D1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2AD1" w14:textId="5407480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37</w:t>
            </w:r>
            <w:r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4837" w14:textId="77777777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C.86.a</w:t>
            </w:r>
          </w:p>
          <w:p w14:paraId="742D812B" w14:textId="6B0D674E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C.86.b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4862" w14:textId="7C4108F4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i/>
                <w:iCs/>
                <w:sz w:val="18"/>
                <w:szCs w:val="18"/>
              </w:rPr>
              <w:t>TRASTUZUMABUM I.V.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6016EF3" w14:textId="77777777" w:rsidR="007854B3" w:rsidRPr="007854B3" w:rsidRDefault="007854B3" w:rsidP="006E1B8C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Zmiana kategorii dostępności refundacyjnej dla trastuzumabu w formie dożylnej:</w:t>
            </w:r>
          </w:p>
          <w:p w14:paraId="600A5949" w14:textId="77777777" w:rsidR="007854B3" w:rsidRPr="007854B3" w:rsidRDefault="007854B3" w:rsidP="007854B3">
            <w:pPr>
              <w:pStyle w:val="Akapitzlist"/>
              <w:numPr>
                <w:ilvl w:val="0"/>
                <w:numId w:val="18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B.9.FM – LECZENIE CHORYCH NA RAKA PIERSI (ICD-10: C50) do katalogu chemioterapii C.86.a;</w:t>
            </w:r>
          </w:p>
          <w:p w14:paraId="08102CC6" w14:textId="77777777" w:rsidR="007854B3" w:rsidRPr="007854B3" w:rsidRDefault="007854B3" w:rsidP="007854B3">
            <w:pPr>
              <w:pStyle w:val="Akapitzlist"/>
              <w:numPr>
                <w:ilvl w:val="0"/>
                <w:numId w:val="18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B.58 -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t>LECZENIE CHORYCH NA ZAAWANSOWANEGO RAKA PRZEŁYKU I ŻOŁĄDKA (ICD-10: C15-C16) do katalogu chemioterapii C.86.b.</w:t>
            </w:r>
          </w:p>
          <w:p w14:paraId="3D96ECC0" w14:textId="77777777" w:rsidR="006E1B8C" w:rsidRDefault="006E1B8C" w:rsidP="006E1B8C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</w:p>
          <w:p w14:paraId="6F9266F1" w14:textId="5767A0F6" w:rsidR="007854B3" w:rsidRPr="007854B3" w:rsidRDefault="007854B3" w:rsidP="006E1B8C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 leczeniu raka piersi wprowadzono możliwość leczenia trastuzumabem dożylnym po progresji w połączeniu z inną terapią przeciwnowotworową.</w:t>
            </w:r>
          </w:p>
          <w:p w14:paraId="62029185" w14:textId="10D50684" w:rsidR="007854B3" w:rsidRPr="007854B3" w:rsidRDefault="007854B3" w:rsidP="006E1B8C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 zakresie drugiego wskazania wprowadzono możliwość leczenia gruczolakoraka żołądka oraz połączenia przełykowo-żołądkowego trastuzumabem dożylnym, a także umożliwiono skojarzenie terapii z oksaliplatyną.</w:t>
            </w:r>
          </w:p>
        </w:tc>
      </w:tr>
      <w:tr w:rsidR="007854B3" w:rsidRPr="002667F9" w14:paraId="6E7A0125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A2C5" w14:textId="02D91FA2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38.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CCB2" w14:textId="77777777" w:rsidR="007854B3" w:rsidRPr="007854B3" w:rsidRDefault="007854B3" w:rsidP="007854B3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C.87.a</w:t>
            </w:r>
          </w:p>
          <w:p w14:paraId="07682B66" w14:textId="0E1283D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C.87.b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ABA4" w14:textId="7759556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OCTAN ABIRATERONU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BA68645" w14:textId="392F33E1" w:rsidR="007854B3" w:rsidRPr="007854B3" w:rsidRDefault="007854B3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Zmiana kategorii dostępności refundacyjnej dla octanu abirateronu z programu lekowego B.56 - LECZENIE CHORYCH OPORNEGO NA KASTRACJĘ RAKA GRUCZOŁU KROKOWEGO (ICD-10: C61) do katalogów chemioterapii C.87.a i C.87.b.</w:t>
            </w:r>
          </w:p>
        </w:tc>
      </w:tr>
      <w:tr w:rsidR="007854B3" w:rsidRPr="002667F9" w14:paraId="6C728706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9810" w14:textId="170D090C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8CDC" w14:textId="200DF78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C.88.a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br/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C.88.b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C.88.c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C.88.d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8EE3" w14:textId="52DCD85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/>
                <w:i/>
                <w:iCs/>
                <w:sz w:val="18"/>
                <w:szCs w:val="18"/>
              </w:rPr>
              <w:t>SUNITINIB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D638E10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Zmiana kategorii dostępności refundacyjnej sunitynibu:</w:t>
            </w:r>
          </w:p>
          <w:p w14:paraId="6F4DF891" w14:textId="77777777" w:rsidR="007854B3" w:rsidRPr="007854B3" w:rsidRDefault="007854B3" w:rsidP="007854B3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C.88.a,</w:t>
            </w:r>
          </w:p>
          <w:p w14:paraId="1D45BD27" w14:textId="77777777" w:rsidR="007854B3" w:rsidRPr="007854B3" w:rsidRDefault="007854B3" w:rsidP="007854B3">
            <w:pPr>
              <w:pStyle w:val="Akapitzlist"/>
              <w:numPr>
                <w:ilvl w:val="0"/>
                <w:numId w:val="19"/>
              </w:num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B.8 - LECZENIE CHORYCH NA MIĘSAKI TKANEK MIĘKKICH (ICD-10: C48, C49) do katalogu chemioterapii C.88.b,</w:t>
            </w:r>
          </w:p>
          <w:p w14:paraId="177638FE" w14:textId="77777777" w:rsidR="007854B3" w:rsidRPr="007854B3" w:rsidRDefault="007854B3" w:rsidP="007854B3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C.88.c,</w:t>
            </w:r>
          </w:p>
          <w:p w14:paraId="2D75281D" w14:textId="77777777" w:rsidR="007854B3" w:rsidRPr="007854B3" w:rsidRDefault="007854B3" w:rsidP="007854B3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B.53 - LECZENIE WYSOKO ZRÓŻNICOWANEGO NOWOTWORU NEUROENDOKRYNNEGO TRZUSTKI (ICD-10 C25.4) do katalogu chemioterapii C.88.d.</w:t>
            </w:r>
          </w:p>
          <w:p w14:paraId="0290B116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7C8098CA" w14:textId="03E65696" w:rsidR="007854B3" w:rsidRPr="007854B3" w:rsidRDefault="007854B3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7854B3" w:rsidRPr="002667F9" w14:paraId="16C6EDEE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BEDA" w14:textId="1B7FA02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8963" w14:textId="369477C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C.89.a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C.89.b</w:t>
            </w: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C.89.c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CCA" w14:textId="78C51D5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/>
                <w:i/>
                <w:iCs/>
                <w:sz w:val="18"/>
                <w:szCs w:val="18"/>
              </w:rPr>
              <w:t>SORAFENIB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D02E19A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Zmiana kategorii dostępności refundacyjnej sorafenibu:</w:t>
            </w:r>
          </w:p>
          <w:p w14:paraId="3295B2E1" w14:textId="77777777" w:rsidR="007854B3" w:rsidRPr="007854B3" w:rsidRDefault="007854B3" w:rsidP="007854B3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B.3 - LECZENIE NOWOTWORÓW PODŚCIELISKA PRZEWODU POKARMOWEGO (GIST) (ICD-10 C 15, C 16, C 17, C 18, C 20, C 48) do katalogu chemioterapii C.89.a,</w:t>
            </w:r>
          </w:p>
          <w:p w14:paraId="33FC24BA" w14:textId="77777777" w:rsidR="007854B3" w:rsidRPr="007854B3" w:rsidRDefault="007854B3" w:rsidP="007854B3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B.5 - LECZENIE CHORYCH NA RAKA WĄTROBOWOKOMÓRKOWEGO (ICD-10: C22.0) do katalogu chemioterapii C.89.b,</w:t>
            </w:r>
          </w:p>
          <w:p w14:paraId="6B19B5E1" w14:textId="77777777" w:rsidR="007854B3" w:rsidRPr="007854B3" w:rsidRDefault="007854B3" w:rsidP="007854B3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C.89.c.</w:t>
            </w:r>
          </w:p>
          <w:p w14:paraId="54636F6C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</w:p>
          <w:p w14:paraId="4FCA1650" w14:textId="05B677A7" w:rsidR="007854B3" w:rsidRPr="007854B3" w:rsidRDefault="007854B3" w:rsidP="007854B3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W leczeniu nowotworów podścieliska przewodu pokarmowego (GIST) dodany został kod ICD-10 C19, który nie był uwzględniony w uprzednio obowiązującym programie lekowym B.3.</w:t>
            </w:r>
          </w:p>
        </w:tc>
      </w:tr>
      <w:tr w:rsidR="007854B3" w:rsidRPr="002667F9" w14:paraId="206004F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A0DA" w14:textId="04D8F3F5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BFB6" w14:textId="65C4A6FD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C.91.a</w:t>
            </w:r>
            <w:r w:rsidRPr="007854B3">
              <w:rPr>
                <w:rFonts w:ascii="Lato" w:hAnsi="Lato" w:cstheme="majorHAnsi"/>
                <w:sz w:val="18"/>
                <w:szCs w:val="18"/>
              </w:rPr>
              <w:br/>
              <w:t>C.91.b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6DE7" w14:textId="44471F03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7854B3">
              <w:rPr>
                <w:rFonts w:ascii="Lato" w:hAnsi="Lato"/>
                <w:i/>
                <w:iCs/>
                <w:sz w:val="18"/>
                <w:szCs w:val="18"/>
              </w:rPr>
              <w:t>EVEROLIMUS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77D8D87" w14:textId="77777777" w:rsidR="007854B3" w:rsidRPr="007854B3" w:rsidRDefault="007854B3" w:rsidP="007854B3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Zmiana kategorii dostępności refundacyjnej ewerolimusu:</w:t>
            </w:r>
          </w:p>
          <w:p w14:paraId="729CECFD" w14:textId="77777777" w:rsidR="006E1B8C" w:rsidRDefault="007854B3" w:rsidP="006E1B8C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z programu lekowego B.10 - LECZENIE PACJENTÓW Z RAKIEM NERKI (ICD-10: C64) do katalogu chemioterapii C.91.a,</w:t>
            </w:r>
          </w:p>
          <w:p w14:paraId="04FE0705" w14:textId="0CF01D33" w:rsidR="007854B3" w:rsidRPr="006E1B8C" w:rsidRDefault="007854B3" w:rsidP="006E1B8C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6E1B8C">
              <w:rPr>
                <w:rFonts w:ascii="Lato" w:hAnsi="Lato" w:cstheme="majorHAnsi"/>
                <w:sz w:val="18"/>
                <w:szCs w:val="18"/>
              </w:rPr>
              <w:t>z programu lekowego B.53 - LECZENIE WYSOKO ZRÓŻNICOWANEGO NOWOTWORU NEUROENDOKRYNNEGO TRZUSTKI (ICD-10 C25.4) do katalogu chemioterapii C.91.b.</w:t>
            </w:r>
          </w:p>
        </w:tc>
      </w:tr>
      <w:tr w:rsidR="007854B3" w:rsidRPr="002667F9" w14:paraId="4935FD9C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8865" w14:textId="7EB11732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42.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694B" w14:textId="77777777" w:rsidR="007854B3" w:rsidRPr="007854B3" w:rsidRDefault="007854B3" w:rsidP="007854B3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C.92.a</w:t>
            </w:r>
          </w:p>
          <w:p w14:paraId="3E5768BA" w14:textId="28C824EF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/>
                <w:sz w:val="18"/>
                <w:szCs w:val="18"/>
              </w:rPr>
              <w:t>C.92.b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7FD6" w14:textId="213DB1A1" w:rsidR="007854B3" w:rsidRPr="007854B3" w:rsidRDefault="007854B3" w:rsidP="007854B3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DASATINIB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6D427EE" w14:textId="77777777" w:rsidR="007854B3" w:rsidRPr="007854B3" w:rsidRDefault="007854B3" w:rsidP="006E1B8C">
            <w:pPr>
              <w:suppressAutoHyphens w:val="0"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color w:val="000000"/>
                <w:sz w:val="18"/>
                <w:szCs w:val="18"/>
              </w:rPr>
              <w:t>Zmiana kategorii dostępności refundacyjnej dla dazatynibu:</w:t>
            </w:r>
          </w:p>
          <w:p w14:paraId="4682BA89" w14:textId="77777777" w:rsidR="006E1B8C" w:rsidRPr="006E1B8C" w:rsidRDefault="007854B3" w:rsidP="006E1B8C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6E1B8C">
              <w:rPr>
                <w:rFonts w:ascii="Lato" w:hAnsi="Lato" w:cstheme="majorHAnsi"/>
                <w:sz w:val="18"/>
                <w:szCs w:val="18"/>
              </w:rPr>
              <w:t>z programu lekowego B.14 – LECZENIE CHORYCH NA PRZEWLEKŁĄ BIAŁACZKĘ SZPIKOWĄ (ICD-10: C92.1) do katalogu chemioterapii C.92.a,</w:t>
            </w:r>
          </w:p>
          <w:p w14:paraId="168A0D89" w14:textId="66E6FCF2" w:rsidR="007854B3" w:rsidRPr="006E1B8C" w:rsidRDefault="007854B3" w:rsidP="006E1B8C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6E1B8C">
              <w:rPr>
                <w:rFonts w:ascii="Lato" w:hAnsi="Lato" w:cstheme="majorHAnsi"/>
                <w:sz w:val="18"/>
                <w:szCs w:val="18"/>
              </w:rPr>
              <w:t>z programu lekowego B.65 - LECZENIE CHORYCH NA OSTRĄ BIAŁACZKĘ LIMFOBLASTYCZNĄ (ICD-10: C91.0) do katalogu chemioterapii C.92.b.</w:t>
            </w:r>
          </w:p>
        </w:tc>
      </w:tr>
    </w:tbl>
    <w:p w14:paraId="50DC3823" w14:textId="77777777" w:rsidR="00816802" w:rsidRPr="002667F9" w:rsidRDefault="00816802" w:rsidP="00816802">
      <w:pPr>
        <w:rPr>
          <w:rFonts w:ascii="Lato" w:hAnsi="Lato" w:cstheme="majorHAnsi"/>
          <w:b/>
          <w:bCs/>
          <w:color w:val="00B0F0"/>
          <w:sz w:val="20"/>
          <w:szCs w:val="20"/>
        </w:rPr>
      </w:pPr>
    </w:p>
    <w:p w14:paraId="2B626AB6" w14:textId="77777777" w:rsidR="00816802" w:rsidRPr="002667F9" w:rsidRDefault="00816802" w:rsidP="00816802">
      <w:pPr>
        <w:suppressAutoHyphens w:val="0"/>
        <w:rPr>
          <w:rFonts w:ascii="Lato" w:hAnsi="Lato" w:cstheme="majorHAnsi"/>
          <w:b/>
          <w:bCs/>
          <w:color w:val="00B0F0"/>
          <w:sz w:val="20"/>
          <w:szCs w:val="20"/>
        </w:rPr>
      </w:pPr>
      <w:r w:rsidRPr="002667F9">
        <w:rPr>
          <w:rFonts w:ascii="Lato" w:hAnsi="Lato" w:cstheme="majorHAnsi"/>
          <w:b/>
          <w:bCs/>
          <w:color w:val="00B0F0"/>
          <w:sz w:val="20"/>
          <w:szCs w:val="20"/>
        </w:rPr>
        <w:br w:type="page"/>
      </w:r>
    </w:p>
    <w:p w14:paraId="79A49358" w14:textId="77777777" w:rsidR="00816802" w:rsidRPr="002667F9" w:rsidRDefault="00816802" w:rsidP="00816802">
      <w:pPr>
        <w:jc w:val="center"/>
        <w:rPr>
          <w:rFonts w:ascii="Lato" w:hAnsi="Lato" w:cstheme="majorHAnsi"/>
          <w:b/>
          <w:bCs/>
          <w:color w:val="00B0F0"/>
          <w:sz w:val="28"/>
          <w:szCs w:val="28"/>
        </w:rPr>
      </w:pPr>
      <w:r w:rsidRPr="002667F9">
        <w:rPr>
          <w:rFonts w:ascii="Lato" w:hAnsi="Lato" w:cstheme="majorHAns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768"/>
        <w:gridCol w:w="2409"/>
        <w:gridCol w:w="4112"/>
        <w:gridCol w:w="5206"/>
      </w:tblGrid>
      <w:tr w:rsidR="00816802" w:rsidRPr="002667F9" w14:paraId="02D1EEA3" w14:textId="77777777" w:rsidTr="00C87906">
        <w:trPr>
          <w:trHeight w:val="45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7EE5" w14:textId="77777777" w:rsidR="00816802" w:rsidRPr="002667F9" w:rsidRDefault="00816802" w:rsidP="00DC266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</w:pPr>
            <w:bookmarkStart w:id="2" w:name="_Hlk121899750"/>
            <w:r w:rsidRPr="002667F9"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  <w:t>Apteka</w:t>
            </w:r>
          </w:p>
        </w:tc>
      </w:tr>
      <w:tr w:rsidR="00816802" w:rsidRPr="002667F9" w14:paraId="3FC877A8" w14:textId="77777777" w:rsidTr="00C87906">
        <w:trPr>
          <w:trHeight w:val="466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95B7" w14:textId="77777777" w:rsidR="00816802" w:rsidRPr="002667F9" w:rsidRDefault="00816802" w:rsidP="00DC266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FFFFFF"/>
                <w:sz w:val="20"/>
                <w:szCs w:val="20"/>
              </w:rPr>
              <w:t>Nowe wskazania refundacyjne</w:t>
            </w:r>
          </w:p>
        </w:tc>
      </w:tr>
      <w:tr w:rsidR="00C87906" w:rsidRPr="002667F9" w14:paraId="50860718" w14:textId="77777777" w:rsidTr="00DD2213"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4146" w14:textId="77777777" w:rsidR="00816802" w:rsidRPr="002667F9" w:rsidRDefault="00816802" w:rsidP="00DC266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DAB7" w14:textId="77777777" w:rsidR="00816802" w:rsidRPr="002667F9" w:rsidRDefault="00816802" w:rsidP="00DC266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 xml:space="preserve">Nazwa leku, środka spożywczego specjalnego przeznaczenia lub wyrobu </w:t>
            </w:r>
            <w:r w:rsidRPr="002667F9">
              <w:rPr>
                <w:rFonts w:ascii="Lato" w:hAnsi="Lato" w:cstheme="majorHAnsi"/>
                <w:b/>
                <w:bCs/>
                <w:sz w:val="20"/>
                <w:szCs w:val="20"/>
              </w:rPr>
              <w:t>medycznego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98D7" w14:textId="77777777" w:rsidR="00816802" w:rsidRPr="002667F9" w:rsidRDefault="00816802" w:rsidP="00DC266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3B69" w14:textId="77777777" w:rsidR="00816802" w:rsidRPr="002667F9" w:rsidRDefault="00816802" w:rsidP="00DC266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F3AD" w14:textId="77777777" w:rsidR="00816802" w:rsidRPr="002667F9" w:rsidRDefault="00816802" w:rsidP="00DC266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</w:pPr>
            <w:r w:rsidRPr="002667F9">
              <w:rPr>
                <w:rFonts w:ascii="Lato" w:hAnsi="Lato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bookmarkEnd w:id="2"/>
      <w:tr w:rsidR="00DD2213" w:rsidRPr="00DD2213" w14:paraId="0E5FBADD" w14:textId="77777777" w:rsidTr="00DD2213">
        <w:trPr>
          <w:trHeight w:val="141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129F" w14:textId="418FA011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4E3B" w14:textId="4FAA252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Acarizax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F98F" w14:textId="4D60FAA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standaryzowany wyciąg alergenowy roztoczy kurzu domowego (Dermatophagoides pteronyssinus, Dermatophagoides farina)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D1C4" w14:textId="1C7CA133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/>
                <w:sz w:val="18"/>
                <w:szCs w:val="18"/>
              </w:rPr>
              <w:t>Leczenie młodzieży w wieku od ukończonego 12. roku życia do ukończonego 17. roku życia z umiarkowanym lub ciężkim alergicznym nieżytem nosa spowodowanym kurzem domowym, utrzymującym się pomimo stosowania leków łagodzących objawy, u których rozpoznanie zostało postawione na podstawie wywiadu klinicznego oraz dodatniego testu alergicznego na roztocza kurzu domowego (punktowe testy skórne i /lub swoiste immunoglobuliny E)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3ED8" w14:textId="7440F4C5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/>
                <w:sz w:val="18"/>
                <w:szCs w:val="18"/>
              </w:rPr>
              <w:t>Pierwszy refundowany produkt w postaci liofilizatu doustnego stanowiący wyciąg alergenowy roztoczy kurzu domowego.</w:t>
            </w:r>
          </w:p>
        </w:tc>
      </w:tr>
      <w:tr w:rsidR="00DD2213" w:rsidRPr="00DD2213" w14:paraId="162D3CAF" w14:textId="77777777" w:rsidTr="00DD2213">
        <w:trPr>
          <w:trHeight w:val="141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E9A0" w14:textId="3DFC7BD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89058" w14:textId="6179C1C1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Detriol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64520" w14:textId="170AF37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kalcytriol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CF90" w14:textId="1A29DFDD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E266" w14:textId="77777777" w:rsidR="00DD2213" w:rsidRPr="00DD2213" w:rsidRDefault="00DD2213" w:rsidP="0032209B">
            <w:pPr>
              <w:spacing w:before="60" w:after="6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DD2213">
              <w:rPr>
                <w:rFonts w:ascii="Lato" w:hAnsi="Lato"/>
                <w:sz w:val="18"/>
                <w:szCs w:val="18"/>
              </w:rPr>
              <w:t>Wskazanie do stosowania u osób dorosłych w:</w:t>
            </w:r>
          </w:p>
          <w:p w14:paraId="1F6336FA" w14:textId="77777777" w:rsidR="00DD2213" w:rsidRPr="0032209B" w:rsidRDefault="00DD2213" w:rsidP="0032209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sz w:val="18"/>
                <w:szCs w:val="18"/>
              </w:rPr>
              <w:t>ciężkiej lub postępującej wtórnej nadczynności przytarczyc prowadzącej do osteodystrofii nerkowej z umiarkowaną lub ciężką przewlekłą niewydolnością nerek,</w:t>
            </w:r>
          </w:p>
          <w:p w14:paraId="29297203" w14:textId="77777777" w:rsidR="0032209B" w:rsidRPr="0032209B" w:rsidRDefault="00DD2213" w:rsidP="0032209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sz w:val="18"/>
                <w:szCs w:val="18"/>
              </w:rPr>
              <w:t>hipokalcemii spowodowanej niedoczynnością przytarczyc (pooperacyjna, idiopatyczna i rzekoma niedoczynność przytarczyc),</w:t>
            </w:r>
          </w:p>
          <w:p w14:paraId="2585B995" w14:textId="76EE25B4" w:rsidR="00DD2213" w:rsidRPr="0032209B" w:rsidRDefault="00DD2213" w:rsidP="0032209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sz w:val="18"/>
                <w:szCs w:val="18"/>
              </w:rPr>
              <w:t>dziedzicznej krzywicy hipofosfatemicznej.</w:t>
            </w:r>
          </w:p>
        </w:tc>
      </w:tr>
      <w:tr w:rsidR="00DD2213" w:rsidRPr="00DD2213" w14:paraId="567D4F7F" w14:textId="77777777" w:rsidTr="00DD2213">
        <w:trPr>
          <w:trHeight w:val="141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C63B" w14:textId="1A272AB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9409" w14:textId="62E2940D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Findarts Duo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E581" w14:textId="2956B28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dutasteryd+ tamsulozyna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3D3D" w14:textId="7E0ADB65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umiarkowanych do ciężkich objawów łagodnego rozrostu gruczołu krokowego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098E" w14:textId="018FBE6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/>
                <w:sz w:val="18"/>
                <w:szCs w:val="18"/>
              </w:rPr>
              <w:t>Pierwszy lek refundowany stanowiący połączenie - blokera receptora alfa-adrenergicznego z inhibitorami 5-alfa reduktazy.</w:t>
            </w:r>
          </w:p>
        </w:tc>
      </w:tr>
      <w:tr w:rsidR="00DD2213" w:rsidRPr="00DD2213" w14:paraId="4557FBE9" w14:textId="77777777" w:rsidTr="00DD2213">
        <w:trPr>
          <w:trHeight w:val="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10E2" w14:textId="6B9E78E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4.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7F1A" w14:textId="1C508D41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Fostex Nexthaler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C97B" w14:textId="5947C8F5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beklometazonu dipropionian i formoterolu fumaran dwuwodny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50BF" w14:textId="77777777" w:rsidR="00DD2213" w:rsidRPr="00DD2213" w:rsidRDefault="00DD2213" w:rsidP="00DD221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obturacyjna choroba płuc, </w:t>
            </w:r>
          </w:p>
          <w:p w14:paraId="452C6700" w14:textId="2B277EE3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Astma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3361" w14:textId="253B9997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Nowy, dwuskładnikowy produkt leczniczy w postaci proszku do inhalacji z inhalatorem proszkowym DPI.</w:t>
            </w:r>
          </w:p>
        </w:tc>
      </w:tr>
      <w:tr w:rsidR="00DD2213" w:rsidRPr="00DD2213" w14:paraId="05DE8C98" w14:textId="77777777" w:rsidTr="00DD2213">
        <w:trPr>
          <w:trHeight w:val="141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C1B5" w14:textId="39905E1A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E0F3" w14:textId="20D5850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Glypvilo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737E" w14:textId="3A5C55A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wildagliptyna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5881" w14:textId="034DA1F0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1A40" w14:textId="77777777" w:rsidR="00DD2213" w:rsidRPr="00DD2213" w:rsidRDefault="00DD2213" w:rsidP="00DD221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Uzupełnienie diety i ćwiczeń fizycznych w celu poprawy kontroli glikemii u osób dorosłych z cukrzycą typu 2:</w:t>
            </w:r>
          </w:p>
          <w:p w14:paraId="39DDED95" w14:textId="4E020FBE" w:rsidR="00DD2213" w:rsidRPr="0032209B" w:rsidRDefault="00DD2213" w:rsidP="0032209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 w:cstheme="majorHAnsi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sz w:val="18"/>
                <w:szCs w:val="18"/>
              </w:rPr>
              <w:t>w monoterapii u pacjentów, u których metformina jest nieodpowiednia z powodu występowania przeciwwskazań lub nietolerancji,</w:t>
            </w:r>
          </w:p>
          <w:p w14:paraId="48231B63" w14:textId="1063E897" w:rsidR="00DD2213" w:rsidRPr="00DD2213" w:rsidRDefault="00DD2213" w:rsidP="0032209B">
            <w:pPr>
              <w:pStyle w:val="Akapitzlist"/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ascii="Lato" w:hAnsi="Lato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sz w:val="18"/>
                <w:szCs w:val="18"/>
              </w:rPr>
              <w:t>w skojarzeniu z innymi produktami leczniczymi stosowanymi w leczeniu cukrzycy, w tym z insuliną, gdy produkty te nie zapewniają wystarczającej kontroli glikemii.</w:t>
            </w:r>
          </w:p>
        </w:tc>
      </w:tr>
      <w:tr w:rsidR="00DD2213" w:rsidRPr="00DD2213" w14:paraId="4B193233" w14:textId="77777777" w:rsidTr="00DD2213">
        <w:trPr>
          <w:trHeight w:val="1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EF8D" w14:textId="7276E9C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B1E4" w14:textId="02887A6B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Influvac Tetra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3E1D" w14:textId="48CD1E28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vaccinum influenzae inactivatum ex corticis antigeniis praeparatum Szczepionka przeciw grypie (antygen powierzchniowy), inaktywowana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B78B" w14:textId="000ACE38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11FF" w14:textId="3995F1DE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/>
                <w:sz w:val="18"/>
                <w:szCs w:val="18"/>
              </w:rPr>
              <w:t>Profilaktyka grypy, zwłaszcza u osób o zwiększonym ryzyku wystąpienia powikłań pogrypowych. Influvac Tetra jest wskazany dla osób dorosłych i dzieci w wieku od 6 miesięcy. Influvac Tetra powinien być stosowany zgodnie z oficjalnymi zaleceniami.</w:t>
            </w:r>
          </w:p>
        </w:tc>
      </w:tr>
      <w:tr w:rsidR="00DD2213" w:rsidRPr="00DD2213" w14:paraId="015750D8" w14:textId="77777777" w:rsidTr="00DD2213">
        <w:trPr>
          <w:trHeight w:val="141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F5FE" w14:textId="536D49C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D5AF" w14:textId="01EE41ED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Jorveza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6E33" w14:textId="2C63DFE4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budezonid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42EB" w14:textId="0E90E98D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Leczenie eozynofilowego zapalenia przełyku (ang. eosinophilic esophagitis, EoE) u pacjentów uprzednio leczonych inhibitorami pompy protonowej (IPP) – leczenie indukcyjne, do 12 tygodni (warunkiem wdrożenia leczenia jest udokumentowanie wykonania badania endoskopowego z pobraniem do oceny histopatologicznej co najmniej 6 wycinków błony śluzowej z proksymalnej i dystalnej części przełyku, z potwierdzeniem EoE poprzez obecność równej lub większej od 15 liczby eozynofilii w dużym powiększeniu)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365F" w14:textId="77777777" w:rsid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Pierwszy lek z kortykosteroidem do stosowania doustnego o działaniu miejscowym na przewód pokarmowy wykorzystywany w leczeniu eozynofilowego zapalenia przełyku. </w:t>
            </w:r>
          </w:p>
          <w:p w14:paraId="75FCE12C" w14:textId="1063FD9B" w:rsidR="006E21D3" w:rsidRPr="006E21D3" w:rsidRDefault="006E21D3" w:rsidP="006E21D3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K </w:t>
            </w: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- Technologia lekowa o wysoki</w:t>
            </w:r>
            <w:r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ej wartości klinicznej</w:t>
            </w:r>
            <w:r w:rsidRPr="00004386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DD2213" w:rsidRPr="00DD2213" w14:paraId="5F97B859" w14:textId="77777777" w:rsidTr="00DD2213">
        <w:trPr>
          <w:trHeight w:val="9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19A2" w14:textId="22B449E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5203" w14:textId="16AE6151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Maymetsi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282B" w14:textId="3AD81B5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sitagliptyna + metforminy chlorowodorek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9C63" w14:textId="0F9CE9CA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AB6C" w14:textId="77777777" w:rsidR="00DD2213" w:rsidRPr="00DD2213" w:rsidRDefault="00DD2213" w:rsidP="0032209B">
            <w:pPr>
              <w:shd w:val="clear" w:color="auto" w:fill="FFFFFF"/>
              <w:spacing w:after="120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U dorosłych pacjentów z cukrzycą typu 2:</w:t>
            </w:r>
          </w:p>
          <w:p w14:paraId="4DDA1B2F" w14:textId="77777777" w:rsidR="00DD2213" w:rsidRPr="00DD2213" w:rsidRDefault="00DD2213" w:rsidP="00DD2213">
            <w:pPr>
              <w:shd w:val="clear" w:color="auto" w:fill="FFFFFF"/>
              <w:spacing w:after="120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- do stosowania, oprócz diety i ćwiczeń fizycznych, w celu poprawy kontroli glikemii u pacjentów z glikemią niedostatecznie wyrównaną podczas stosowania maksymalnej tolerowanej dawki metforminy w monoterapii lub u pacjentów już leczonych sitagliptyną w skojarzeniu z metforminą,</w:t>
            </w:r>
          </w:p>
          <w:p w14:paraId="4351C8D1" w14:textId="77777777" w:rsidR="00DD2213" w:rsidRPr="00DD2213" w:rsidRDefault="00DD2213" w:rsidP="00DD2213">
            <w:pPr>
              <w:shd w:val="clear" w:color="auto" w:fill="FFFFFF"/>
              <w:spacing w:after="120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 xml:space="preserve">- do stosowania w skojarzeniu z pochodną sulfonylomocznika (tj. w leczeniu potrójnie skojarzonym), oprócz diety i ćwiczeń fizycznych, u pacjentów z glikemią niedostatecznie wyrównaną 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podczas stosowania maksymalnej tolerowanej dawki metforminy i pochodnej sulfonylomocznika,</w:t>
            </w:r>
          </w:p>
          <w:p w14:paraId="3391E599" w14:textId="77777777" w:rsidR="00DD2213" w:rsidRPr="00DD2213" w:rsidRDefault="00DD2213" w:rsidP="00DD2213">
            <w:pPr>
              <w:shd w:val="clear" w:color="auto" w:fill="FFFFFF"/>
              <w:spacing w:after="120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- w leczeniu potrójnie skojarzonym z agonistą receptora aktywowanego przez proliferatory peroksysomów typu gamma (PPAR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sym w:font="Symbol" w:char="F067"/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) (np. tiazolidynedionem), oprócz diety i ćwiczeń fizycznych, u pacjentów z glikemią niedostatecznie wyrównaną podczas stosowania maksymalnej tolerowanej dawki metforminy i agonisty receptora PPAR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sym w:font="Symbol" w:char="F067"/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.,</w:t>
            </w:r>
          </w:p>
          <w:p w14:paraId="01276699" w14:textId="7F21F918" w:rsidR="00DD2213" w:rsidRPr="00DD2213" w:rsidRDefault="00DD2213" w:rsidP="00DD2213">
            <w:pPr>
              <w:tabs>
                <w:tab w:val="left" w:pos="4021"/>
              </w:tabs>
              <w:spacing w:after="12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- do stosowania, jako lek uzupełniający podanie insuliny (tj. w leczeniu potrójnie skojarzonym), pomocniczo wraz z dietą i ćwiczeniami fizycznymi, w celu poprawy kontroli glikemii u pacjentów, u których stosowanie stałej dawki insuliny i metforminy nie zapewnia odpowiedniej kontroli glikemii.</w:t>
            </w:r>
          </w:p>
        </w:tc>
      </w:tr>
      <w:tr w:rsidR="00DD2213" w:rsidRPr="00DD2213" w14:paraId="7D284C6B" w14:textId="77777777" w:rsidTr="00DD2213">
        <w:trPr>
          <w:trHeight w:val="9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A075" w14:textId="79852C3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9.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72B0" w14:textId="210C9A7E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Maysiglu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76AC" w14:textId="7B8F8D0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sitagliptyna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68D2" w14:textId="4D216DFD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667E" w14:textId="77777777" w:rsidR="00DD2213" w:rsidRPr="00DD2213" w:rsidRDefault="00DD2213" w:rsidP="00DD2213">
            <w:pPr>
              <w:tabs>
                <w:tab w:val="left" w:pos="4021"/>
              </w:tabs>
              <w:spacing w:after="12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 dorosłych z cukrzycą typu 2 w celu poprawy kontroli glikemii: </w:t>
            </w:r>
          </w:p>
          <w:p w14:paraId="16B9B29D" w14:textId="77777777" w:rsidR="00DD2213" w:rsidRPr="00DD2213" w:rsidRDefault="00DD2213" w:rsidP="00DD2213">
            <w:pPr>
              <w:pStyle w:val="Akapitzlist"/>
              <w:numPr>
                <w:ilvl w:val="0"/>
                <w:numId w:val="26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 monoterapii (u pacjentów nieodpowiednio kontrolowanych wyłącznie dietą i ćwiczeniami fizycznymi, u których stosowanie metforminy jest niewłaściwe z powodu przeciwwskazań lub nietolerancji);</w:t>
            </w:r>
          </w:p>
          <w:p w14:paraId="6D05E568" w14:textId="77777777" w:rsidR="00DD2213" w:rsidRPr="00DD2213" w:rsidRDefault="00DD2213" w:rsidP="00DD2213">
            <w:pPr>
              <w:pStyle w:val="Akapitzlist"/>
              <w:numPr>
                <w:ilvl w:val="0"/>
                <w:numId w:val="26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 dwuskładnikowej terapii doustnej w skojarzeniu z:</w:t>
            </w:r>
          </w:p>
          <w:p w14:paraId="163EC5B6" w14:textId="77777777" w:rsidR="00DD2213" w:rsidRPr="00DD2213" w:rsidRDefault="00DD2213" w:rsidP="00DD2213">
            <w:pPr>
              <w:pStyle w:val="Akapitzlist"/>
              <w:numPr>
                <w:ilvl w:val="0"/>
                <w:numId w:val="27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metforminą w przypadku, gdy dieta i ćwiczenia fizyczne oraz stosowanie jedynie metforminy nie wystarczają do odpowiedniej kontroli glikemii; </w:t>
            </w:r>
          </w:p>
          <w:p w14:paraId="0133A592" w14:textId="77777777" w:rsidR="00DD2213" w:rsidRPr="00DD2213" w:rsidRDefault="00DD2213" w:rsidP="00DD2213">
            <w:pPr>
              <w:pStyle w:val="Akapitzlist"/>
              <w:numPr>
                <w:ilvl w:val="0"/>
                <w:numId w:val="27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pochodną sulfonylomocznika w przypadku, gdy dieta i ćwiczenia fizyczne oraz stosowanie jedynie maksymalnej tolerowanej dawki pochodnej sulfonylomocznika nie wystarczają do odpowiedniej kontroli glikemii oraz w przypadku, gdy stosowanie metforminy jest niewłaściwe z powodu przeciwwskazań lub nietolerancji; </w:t>
            </w:r>
          </w:p>
          <w:p w14:paraId="35638C56" w14:textId="77777777" w:rsidR="00DD2213" w:rsidRPr="00DD2213" w:rsidRDefault="00DD2213" w:rsidP="00DD2213">
            <w:pPr>
              <w:pStyle w:val="Akapitzlist"/>
              <w:numPr>
                <w:ilvl w:val="0"/>
                <w:numId w:val="27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agonistą receptora aktywowanego przez proliferatory peroksysomów typu gamma (PPAR) (tj. tiazolidynedionem), jeśli zastosowanie agonisty receptora PPAR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 jest wskazane i kiedy stosowanie diety i ćwiczeń fizycznych w połączeniu z agonistą receptora PPAR</w:t>
            </w:r>
            <w:r w:rsidRPr="00DD2213">
              <w:rPr>
                <w:rFonts w:cs="Calibri"/>
                <w:color w:val="000000"/>
                <w:sz w:val="18"/>
                <w:szCs w:val="18"/>
              </w:rPr>
              <w:t>γ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monoterapii nie zapewnia odpowiedniej kontroli glikemii;</w:t>
            </w:r>
          </w:p>
          <w:p w14:paraId="470B7EDB" w14:textId="77777777" w:rsidR="00DD2213" w:rsidRPr="00DD2213" w:rsidRDefault="00DD2213" w:rsidP="00DD2213">
            <w:pPr>
              <w:pStyle w:val="Akapitzlist"/>
              <w:numPr>
                <w:ilvl w:val="0"/>
                <w:numId w:val="26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 trójskładnikowej terapii doustnej w skojarzeniu z:</w:t>
            </w:r>
          </w:p>
          <w:p w14:paraId="1F0E8508" w14:textId="77777777" w:rsidR="00DD2213" w:rsidRPr="00DD2213" w:rsidRDefault="00DD2213" w:rsidP="00DD2213">
            <w:pPr>
              <w:pStyle w:val="Akapitzlist"/>
              <w:numPr>
                <w:ilvl w:val="0"/>
                <w:numId w:val="28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pochodną sulfonylomocznika i metforminą w przypadku, gdy dieta i ćwiczenia fizyczne oraz 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 xml:space="preserve">stosowanie tych produktów leczniczych nie wystarczają do odpowiedniej kontroli glikemii; </w:t>
            </w:r>
          </w:p>
          <w:p w14:paraId="0B1245D9" w14:textId="77777777" w:rsidR="00DD2213" w:rsidRPr="00DD2213" w:rsidRDefault="00DD2213" w:rsidP="00DD2213">
            <w:pPr>
              <w:pStyle w:val="Akapitzlist"/>
              <w:numPr>
                <w:ilvl w:val="0"/>
                <w:numId w:val="28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agonistą receptora PPAR</w:t>
            </w:r>
            <w:r w:rsidRPr="00DD2213">
              <w:rPr>
                <w:rFonts w:cs="Calibri"/>
                <w:color w:val="000000"/>
                <w:sz w:val="18"/>
                <w:szCs w:val="18"/>
              </w:rPr>
              <w:t>γ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metforminą, kiedy zastosowanie agonisty receptora PPAR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 jest wskazane i kiedy stosowanie diety i ćwiczeń fizycznych w połączeniu z tymi produktami leczniczymi nie wystarczają do odpowiedniej kontroli glikemii. </w:t>
            </w:r>
          </w:p>
          <w:p w14:paraId="28270CF1" w14:textId="570E4350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Produkt leczniczy Maysiglu jest także wskazany do stosowania jako lek uzupełniający w stosunku do insuliny (z metforminą lub bez), kiedy dieta i ćwiczenia fizyczne w połączeniu ze stałą dawką insuliny nie zapewniają odpowiedniej kontroli glikemii.</w:t>
            </w:r>
          </w:p>
        </w:tc>
      </w:tr>
      <w:tr w:rsidR="00DD2213" w:rsidRPr="00DD2213" w14:paraId="2E1E9CB9" w14:textId="77777777" w:rsidTr="00DD2213">
        <w:trPr>
          <w:trHeight w:val="9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5706" w14:textId="04FE246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10.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8281" w14:textId="008BAD0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Neocate Syneo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7C7C" w14:textId="0979714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dieta eliminacyjna mlekozastępcza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70EB" w14:textId="12FCAB0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Postępowanie dietetyczne w ciężkiej alergii na białka mleka krowiego oraz złożonej nietolerancji białek pokarmowych u pacjentów do ukończenia 18 roku życia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D957" w14:textId="023A3441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Zabezpieczenie pacjentów pediatrycznych powyżej 1 roku życia z ciężką alergią na białka mleka krowiego.</w:t>
            </w:r>
          </w:p>
        </w:tc>
      </w:tr>
      <w:tr w:rsidR="00DD2213" w:rsidRPr="00DD2213" w14:paraId="0C710DF3" w14:textId="77777777" w:rsidTr="00DD2213">
        <w:trPr>
          <w:trHeight w:val="9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32A5" w14:textId="6C6B909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E2F1" w14:textId="40D2016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Ontozry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3341" w14:textId="538C04D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cenobamat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408B" w14:textId="3DA35A37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Leczenie wspomagające napadów ogniskowych ulegających albo nieulegających wtórnemu uogólnieniu u dorosłych pacjentów z padaczką z brakiem kontroli napadów lub nietolerancją leczenia po zastosowaniu co najmniej jednej próby terapii dodanej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FF1E" w14:textId="3EC8D835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Pierwszy lek przeciwpadaczkowy z cenobamatem – substancją czynną o podwójnym mechanizmie działania.</w:t>
            </w:r>
          </w:p>
        </w:tc>
      </w:tr>
      <w:tr w:rsidR="00DD2213" w:rsidRPr="00DD2213" w14:paraId="76040A38" w14:textId="77777777" w:rsidTr="00DD2213">
        <w:trPr>
          <w:trHeight w:val="9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A033" w14:textId="7596EB8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A437" w14:textId="6346F21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Oramorph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83BC" w14:textId="33C2F6B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8E27" w14:textId="597E819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Nowotwory złośliwe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A53E" w14:textId="77777777" w:rsidR="00DD2213" w:rsidRPr="00DD2213" w:rsidRDefault="00DD2213" w:rsidP="00DD221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Nowa postać farmaceutyczna siarczanu morfiny  w formie kropli doustnych ułatwiajacych podawanie leku dzieciom oraz pacjentom mających problem z przełykaniem. </w:t>
            </w:r>
          </w:p>
          <w:p w14:paraId="39DD3341" w14:textId="2F56337C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Lek Oramorph wskazany jest u dorosłych, młodzieży i dzieci powyżej 1. roku życia.</w:t>
            </w:r>
          </w:p>
        </w:tc>
      </w:tr>
      <w:tr w:rsidR="00DD2213" w:rsidRPr="00DD2213" w14:paraId="196C6AA1" w14:textId="77777777" w:rsidTr="00DD2213">
        <w:trPr>
          <w:trHeight w:val="19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421D" w14:textId="39D5E7C4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36A3" w14:textId="1901EE78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Oramorph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FED5" w14:textId="7A2643F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siarczan morfiny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EF45" w14:textId="29093FEE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Neuralgia popółpaścowa przewlekła, Wieloobjawowy miejscowy zespół bólowy typu I - odruchowa dystrofia współczulna oraz typu II – kauzalgia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5D1C" w14:textId="77777777" w:rsidR="00DD2213" w:rsidRPr="00DD2213" w:rsidRDefault="00DD2213" w:rsidP="00DD221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Nowa postać farmaceutyczna siarczanu morfiny  w formie kropli doustnych ułatwiajacych podawanie leku dzieciom oraz pacjentom mających problem z przełykaniem. </w:t>
            </w:r>
          </w:p>
          <w:p w14:paraId="2E8E0541" w14:textId="3A8ED83C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Lek Oramorph wskazany jest u dorosłych, młodzieży i dzieci powyżej 1. roku życia.</w:t>
            </w:r>
          </w:p>
        </w:tc>
      </w:tr>
      <w:tr w:rsidR="00DD2213" w:rsidRPr="00DD2213" w14:paraId="53CB523D" w14:textId="77777777" w:rsidTr="00DD2213">
        <w:trPr>
          <w:trHeight w:val="19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FB73" w14:textId="6C0AC3A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14.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5720" w14:textId="3A1B362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Suliqua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3347" w14:textId="40F877C4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 glargine + liksysenatyd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FDAA" w14:textId="171763A3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Cukrzyca typu 2 u pacjentów leczonych co najmniej dwoma lekami hipoglikemizującymi, z HbA1c ≥ 7,5%, z otyłością definiowaną jako BMI ≥30 kg/m2 oraz bardzo wysokim ryzykiem sercowo-naczyniowym rozumianym jako: 1)potwierdzona choroba sercowo-naczyniowa, lub 2)uszkodzenie innych narządów objawiające się poprzez: białkomocz lub przerost lewej komory lub retinopatię, lub 3)obecność 2 lub więcej głównych czynników ryzyka spośród wymienionych poniżej: -wiek ≥ 55 lat dla mężczyzn, ≥60 lat dla kobiet, -dyslipidemia, -nadciśnienie tętnicze, -palenie tytoniu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388D" w14:textId="775617FD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Pierwszy lek refundowany w cukrzycy stanowiący połączenie analogu GLP-1 oraz insuliny glargine. </w:t>
            </w:r>
          </w:p>
        </w:tc>
      </w:tr>
      <w:tr w:rsidR="00DD2213" w:rsidRPr="00DD2213" w14:paraId="699C3699" w14:textId="77777777" w:rsidTr="00DD2213">
        <w:trPr>
          <w:trHeight w:val="126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394A" w14:textId="56AFF47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A8F2" w14:textId="4C1C798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Tresiba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1652" w14:textId="7B6ED5BB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 degludec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096D" w14:textId="660A4EC8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Cukrzyca typu I u dorosłych; cukrzyca typu 2 u dorosłych pacjentów leczonych insuliną NPH od co najmniej 6 miesięcy i z HbA1c ≥7,5% oraz cukrzyca typu 2 u dorosłych pacjentów leczonych insuliną NPH od co najmniej 6 miesięcy i z udokumentowanymi nawracającymi epizodami ciężkiej lub nocnej hipoglikemii oraz cukrzyca o znanej przyczynie (zgodnie z definicją wg WHO); cukrzyca typu I u dzieci powyżej 1. roku życia i młodzieży; cukrzyca typu 2 u dzieci powyżej 1. roku życia i młodzieży leczonych insuliną NPH od co najmniej 6 miesięcy i z HbA1c ≥7,5% oraz cukrzyca typu 2 u dzieci powyżej 1. roku życia i młodzieży leczonych insuliną NPH od co najmniej 6 miesięcy i z udokumentowanymi nawracającymi epizodami ciężkiej lub nocnej hipoglikemii oraz cukrzyca u dzieci powyżej 1. roku życia i młodzieży o znanej przyczynie (zgodnie z definicją wg WHO)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4592" w14:textId="77777777" w:rsidR="00DD2213" w:rsidRPr="00DD2213" w:rsidRDefault="00DD2213" w:rsidP="00DD221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Podskórna, długodziałająca insulina bazowa degludec bez skojarzenia z dodatkową substancją czynną o działaniu hipoglikemizującym. W przeszłości produkt refundowany w dwóch innych prezentacjach, których refundacja została zaprzestana na skutek decyzji podmiotu odpowiedzialnego.</w:t>
            </w:r>
          </w:p>
          <w:p w14:paraId="073078F0" w14:textId="44E2AFA1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Redukcja kryterium kwalifikującego do leczenia - poziomu hemoglobiny glikowanej, o 0,5 punktu procentowego (z ≥8% na ≥7,5%).</w:t>
            </w:r>
          </w:p>
        </w:tc>
      </w:tr>
      <w:tr w:rsidR="00DD2213" w:rsidRPr="00DD2213" w14:paraId="1BC77B89" w14:textId="77777777" w:rsidTr="00DD221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EC6F" w14:textId="0171E52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16.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4AAC" w14:textId="4778992A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Trixeo Aerosphere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7523" w14:textId="7898CCC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formoterol fumaranu dwuwodnego + bromek glikopironiowy + budezonid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9297" w14:textId="18F3E28E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(POChP)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5A49" w14:textId="5F471E5A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Leczenie podtrzymujące u pacjentów dorosłych z umiarkowaną lub ciężką przewlekłą obturacyjną chorobą płuc (POChP),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muskarynowych.</w:t>
            </w:r>
          </w:p>
        </w:tc>
      </w:tr>
      <w:tr w:rsidR="00DD2213" w:rsidRPr="00DD2213" w14:paraId="1B4F5D81" w14:textId="77777777" w:rsidTr="00DD2213">
        <w:trPr>
          <w:trHeight w:val="120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3195" w14:textId="0970C0FE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17.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1A49" w14:textId="666E913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VaxigripTetra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57C9" w14:textId="3AC5A98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czterowalentna szczepionka przeciw grypie (rozszczepiony wirion), inaktywowana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77D7" w14:textId="4C062D0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8F8F" w14:textId="77777777" w:rsidR="00DD2213" w:rsidRPr="00DD2213" w:rsidRDefault="00DD2213" w:rsidP="00DD221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Do zapobiegania grypie wywołanej przez dwa podtypy wirusa grypy A oraz dwa typy wirusa grypy B, które są zawarte w szczepionce:</w:t>
            </w:r>
          </w:p>
          <w:p w14:paraId="5E6219E5" w14:textId="77777777" w:rsidR="00DD2213" w:rsidRPr="00DD2213" w:rsidRDefault="00DD2213" w:rsidP="00DD2213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czynne uodpornienie dorosłych, w tym kobiet w ciąży, oraz dzieci od ukończenia 6. miesiąca życia,</w:t>
            </w:r>
          </w:p>
          <w:p w14:paraId="748841D3" w14:textId="77777777" w:rsidR="00DD2213" w:rsidRPr="00DD2213" w:rsidRDefault="00DD2213" w:rsidP="00DD2213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bierne uodpornienie niemowląt od urodzenia do wieku poniżej sześciu miesięcy po szczepieniu kobiet w ciąży.</w:t>
            </w:r>
          </w:p>
          <w:p w14:paraId="4F7A20F6" w14:textId="2A52417A" w:rsidR="00DD2213" w:rsidRPr="00DD2213" w:rsidRDefault="00DD2213" w:rsidP="0032209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Zastosowanie szczepionki VaxigripTetra powinno być zgodne z oficjalnymi zaleceniami.</w:t>
            </w:r>
          </w:p>
        </w:tc>
      </w:tr>
      <w:tr w:rsidR="00DD2213" w:rsidRPr="00DD2213" w14:paraId="15873229" w14:textId="77777777" w:rsidTr="00DD2213">
        <w:trPr>
          <w:trHeight w:val="120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9D6" w14:textId="45A8901D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18.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0412" w14:textId="69F58DF1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Vimetso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0229E" w14:textId="0C533AE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wildagliptyna + chlorowodorek metforminy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FFD0" w14:textId="7006ABE4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4815" w14:textId="6BCB6F7B" w:rsidR="00DD2213" w:rsidRPr="00DD2213" w:rsidRDefault="00DD2213" w:rsidP="0032209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Stosowanie jako uzupełnienie diety i ćwiczeń fizycznych w celu poprawy kontroli glikemii u osób dorosłych z cukrzycą typu 2:</w:t>
            </w:r>
          </w:p>
          <w:p w14:paraId="71C32A03" w14:textId="77777777" w:rsidR="00DD2213" w:rsidRPr="0032209B" w:rsidRDefault="00DD2213" w:rsidP="0032209B">
            <w:pPr>
              <w:pStyle w:val="Akapitzlist"/>
              <w:numPr>
                <w:ilvl w:val="0"/>
                <w:numId w:val="28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color w:val="000000"/>
                <w:sz w:val="18"/>
                <w:szCs w:val="18"/>
              </w:rPr>
              <w:t>u pacjentów, u których nie uzyskano wystarczającej kontroli glikemii po zastosowaniu chlorowodorku metforminy w monoterapii,</w:t>
            </w:r>
          </w:p>
          <w:p w14:paraId="676C85B9" w14:textId="77777777" w:rsidR="0032209B" w:rsidRPr="0032209B" w:rsidRDefault="00DD2213" w:rsidP="0032209B">
            <w:pPr>
              <w:pStyle w:val="Akapitzlist"/>
              <w:numPr>
                <w:ilvl w:val="0"/>
                <w:numId w:val="28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color w:val="000000"/>
                <w:sz w:val="18"/>
                <w:szCs w:val="18"/>
              </w:rPr>
              <w:t>u pacjentów już leczonych wildagliptyną w skojarzeniu z chlorowodorkiem metforminy, w postaci oddzielnych tabletek</w:t>
            </w:r>
            <w:r w:rsidR="0032209B" w:rsidRPr="0032209B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</w:p>
          <w:p w14:paraId="208E7E12" w14:textId="1A19B61F" w:rsidR="00DD2213" w:rsidRPr="0032209B" w:rsidRDefault="00DD2213" w:rsidP="0032209B">
            <w:pPr>
              <w:pStyle w:val="Akapitzlist"/>
              <w:numPr>
                <w:ilvl w:val="0"/>
                <w:numId w:val="28"/>
              </w:numPr>
              <w:tabs>
                <w:tab w:val="left" w:pos="4021"/>
              </w:tabs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Lato" w:hAnsi="Lato"/>
                <w:sz w:val="18"/>
                <w:szCs w:val="18"/>
              </w:rPr>
            </w:pPr>
            <w:r w:rsidRPr="0032209B">
              <w:rPr>
                <w:rFonts w:ascii="Lato" w:hAnsi="Lato" w:cstheme="majorHAnsi"/>
                <w:color w:val="000000"/>
                <w:sz w:val="18"/>
                <w:szCs w:val="18"/>
              </w:rPr>
              <w:t>w skojarzeniu z innymi produktami leczniczymi stosowanymi w leczeniu cukrzycy, w tym z insuliną, gdy produkty te nie zapewniają wystarczającej kontroli glikemii.</w:t>
            </w:r>
          </w:p>
        </w:tc>
      </w:tr>
      <w:tr w:rsidR="00DD2213" w:rsidRPr="00DD2213" w14:paraId="58283EBD" w14:textId="77777777" w:rsidTr="00DD2213">
        <w:trPr>
          <w:trHeight w:val="11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D625" w14:textId="11C43AC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19.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24B5" w14:textId="6BDC336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Ylpio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0760" w14:textId="79AC3D9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indapamid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BCA0" w14:textId="5FC4E2E3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We wszystkich zarejestrowanych wskazaniach na dzień wydania decyzji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1C4C" w14:textId="1F410E7C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Nowe połączenie cząsteczek – objęcie refundacją w ramach grupy limitowej 45.0 Antagoniści angiotensyny II - produkty jednoskładnikowe i złożone</w:t>
            </w:r>
          </w:p>
        </w:tc>
      </w:tr>
      <w:tr w:rsidR="00DD2213" w:rsidRPr="00DD2213" w14:paraId="116CECF8" w14:textId="77777777" w:rsidTr="00DD2213">
        <w:trPr>
          <w:trHeight w:val="17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8903" w14:textId="5AFFFA24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20.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2329" w14:textId="67F6295E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B77" w14:textId="699DED9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enoksaparyna sodowa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598B" w14:textId="6AAF952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Profilaktyka i leczenie żylnej choroby zakrzepowo – zatorowej u kobiet w ciąży i połogu – w przypadkach innych niż określone w ChPL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DDA5" w14:textId="6CFA3CA7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Poszerzenie wskazania pozarejestracyjnego w celu zwiększenie dostępności refundacyjnej do leczenie enoksaparyną dla kobiet w okresie połogu.</w:t>
            </w:r>
          </w:p>
        </w:tc>
      </w:tr>
      <w:tr w:rsidR="00DD2213" w:rsidRPr="00DD2213" w14:paraId="60085B98" w14:textId="77777777" w:rsidTr="00DD2213">
        <w:trPr>
          <w:trHeight w:val="15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C6DA" w14:textId="292C2C58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858C" w14:textId="56F5CF0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F227" w14:textId="2F14ED48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nadroparyna wapniowa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6EAD" w14:textId="50DFA88A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Profilaktyka i leczenie żylnej choroby zakrzepowo – zatorowej u kobiet w ciąży i połogu – w przypadkach innych niż określone w ChPL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B8A5" w14:textId="2F51979E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Poszerzenie wskazania pozarejestracyjnego w celu zwiększenie dostępności refundacyjnej do leczenie nadroparyną dla kobiet w okresie połogu.</w:t>
            </w:r>
          </w:p>
        </w:tc>
      </w:tr>
      <w:tr w:rsidR="00DD2213" w:rsidRPr="00DD2213" w14:paraId="1B995FF4" w14:textId="77777777" w:rsidTr="00DD2213">
        <w:trPr>
          <w:trHeight w:val="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2BB0" w14:textId="10EBB85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22.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C1C6" w14:textId="683247E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nazwy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AF2B" w14:textId="6BFE9D39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aprepitant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EBE0" w14:textId="21E28826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Wczesne albo opóźnione wymioty u osób dorosłych związane z silnie emetogenną chemioterapią z zastosowaniem cisplatyny w dawce &gt;70 mg/m2, doksorubicyny i cyklofosfamidu – profilaktyka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AF65" w14:textId="0A8DD7C6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refundacyjnego o wczesne albo opóźnione wymioty związane z silnie emetogenną chemioterapią z zastosowaniem doksorubicyny i cyklofosfamidu dla wszystkich produktów leczniczych z aprepitantem.</w:t>
            </w:r>
          </w:p>
        </w:tc>
      </w:tr>
      <w:tr w:rsidR="00DD2213" w:rsidRPr="00DD2213" w14:paraId="1D5C0231" w14:textId="77777777" w:rsidTr="00DD221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87CE" w14:textId="0CF0949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ADCB" w14:textId="2E641031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3B49" w14:textId="4FCDEEC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 + walsartan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20A2" w14:textId="65CD3314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AC6" w14:textId="206CD139" w:rsidR="00DD2213" w:rsidRPr="00DD2213" w:rsidRDefault="00DD2213" w:rsidP="0032209B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Dodanie wskazania pozarejestracyjnego (</w:t>
            </w: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off-label</w:t>
            </w: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) dla preparatów złożonych, których zastosowanie wg zarejestrowanych wskazań jest ograniczone do wskazań substytucyjnych lub addycyjnych. Rozszerzenie zakresu wskazań refundacyjnych umożliwi rozpoczęcie leczenia nadciśnienia tętniczego od terapii skojarzonej.</w:t>
            </w:r>
          </w:p>
        </w:tc>
      </w:tr>
      <w:tr w:rsidR="00DD2213" w:rsidRPr="00DD2213" w14:paraId="59502DF1" w14:textId="77777777" w:rsidTr="00DD2213">
        <w:trPr>
          <w:trHeight w:val="3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708F" w14:textId="04A157BB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lastRenderedPageBreak/>
              <w:t>24.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1E60" w14:textId="75D5AE3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2F9B" w14:textId="218870B5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amlodypina + walsartan + hydrochlorotiazyd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01FC" w14:textId="0C2D7C5B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EE9F" w14:textId="1E2E7F5B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7C6D8824" w14:textId="77777777" w:rsidTr="00DD2213">
        <w:trPr>
          <w:trHeight w:val="13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D29C" w14:textId="2C8B3A39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  <w:shd w:val="clear" w:color="auto" w:fill="FFFFFF"/>
              </w:rPr>
              <w:t>25.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87A9" w14:textId="05160D6A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21D4" w14:textId="3A0D4A5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kandesartan + hydrochlorotiazyd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AE24" w14:textId="48086CB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52AD" w14:textId="03F4CB5B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18972112" w14:textId="77777777" w:rsidTr="00DD2213">
        <w:trPr>
          <w:trHeight w:val="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97D2" w14:textId="27B68C79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26.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5A9B" w14:textId="628DF78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EE4F" w14:textId="7B5D39F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kandesartan + amlodypina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2C3B" w14:textId="063FE1DB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C3FB" w14:textId="1ABC851A" w:rsidR="00DD2213" w:rsidRPr="00DD2213" w:rsidRDefault="00DD2213" w:rsidP="00DD2213">
            <w:pPr>
              <w:keepLines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6803217E" w14:textId="77777777" w:rsidTr="00DD2213">
        <w:trPr>
          <w:trHeight w:val="17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3F062" w14:textId="74141929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27.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9FF7" w14:textId="0432F02E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A1B1" w14:textId="3134D52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indapamid + amlodypina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F0C6" w14:textId="5BC85092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9DDE" w14:textId="07CCB8A4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6CCDE5FF" w14:textId="77777777" w:rsidTr="00DD2213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7A26" w14:textId="692FE94B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28.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CE5D" w14:textId="4176B9A5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6EFE" w14:textId="02BCD79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lizynopryl + amlodypina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02BA" w14:textId="2EC7CBDB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8E88" w14:textId="240C792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1260893C" w14:textId="77777777" w:rsidTr="00DD2213">
        <w:trPr>
          <w:trHeight w:val="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94F7" w14:textId="55F9A5D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29.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7B0F" w14:textId="5BF7C04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B22F" w14:textId="4A9786A8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lizynopryl + hydrochlorotiazyd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96B5" w14:textId="41E449BB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6B3B" w14:textId="2C1B907C" w:rsidR="00DD2213" w:rsidRPr="00DD2213" w:rsidRDefault="00DD2213" w:rsidP="00DD2213">
            <w:pPr>
              <w:keepLines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67DEAA32" w14:textId="77777777" w:rsidTr="00DD2213">
        <w:trPr>
          <w:trHeight w:val="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A32F" w14:textId="1742C01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30.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F0C1" w14:textId="070D721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FC2C" w14:textId="29DDF09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losartan + amlodypina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F895" w14:textId="6DED551C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2261" w14:textId="3BE1410F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0E8E6432" w14:textId="77777777" w:rsidTr="00DD2213">
        <w:trPr>
          <w:trHeight w:val="6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0D94" w14:textId="0481F2AA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B43D" w14:textId="2031C275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8151" w14:textId="2FFDB3E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losartan + hydrochlorotiazyd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F5B0" w14:textId="44E70CA1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451D" w14:textId="5E26A806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479FEA85" w14:textId="77777777" w:rsidTr="00DD2213">
        <w:trPr>
          <w:trHeight w:val="762"/>
        </w:trPr>
        <w:tc>
          <w:tcPr>
            <w:tcW w:w="1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D833" w14:textId="281FC3D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32.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FE16" w14:textId="70F42902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5880" w14:textId="61D61BD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peryndopryl + amlodypina</w:t>
            </w:r>
          </w:p>
        </w:tc>
        <w:tc>
          <w:tcPr>
            <w:tcW w:w="1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FD6A" w14:textId="6EDC6742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C053" w14:textId="2DAF963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11E5EED3" w14:textId="77777777" w:rsidTr="00DD2213">
        <w:trPr>
          <w:trHeight w:val="5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00EE" w14:textId="79BE280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33.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7323" w14:textId="1D4C70F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  <w:lang w:val="en-GB" w:eastAsia="pl-PL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0D42" w14:textId="1897B99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  <w:lang w:eastAsia="pl-PL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peryndopryl + indapamid (bez dawki 2,5+0,625 mg)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8D73" w14:textId="187248F6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sz w:val="18"/>
                <w:szCs w:val="18"/>
                <w:lang w:eastAsia="pl-PL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1A9D" w14:textId="74873418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63949F60" w14:textId="77777777" w:rsidTr="00DD2213">
        <w:trPr>
          <w:trHeight w:val="5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2D96" w14:textId="54B94DF7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34.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BE0B" w14:textId="09CCB0BA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6AB6" w14:textId="0CA47B55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 + amlodypina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A33B" w14:textId="7770B6D1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E37A" w14:textId="5689A566" w:rsidR="00DD2213" w:rsidRPr="00DD2213" w:rsidRDefault="00DD2213" w:rsidP="00DD2213">
            <w:pPr>
              <w:keepLines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727470E0" w14:textId="77777777" w:rsidTr="00DD2213">
        <w:trPr>
          <w:trHeight w:val="70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71EE" w14:textId="28369E4B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35.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8ED4" w14:textId="5B5EB28E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2CE9" w14:textId="5AF4E5F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 + felodypina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D4F1" w14:textId="3A22615E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2663" w14:textId="0D52DFAA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6F7223A3" w14:textId="77777777" w:rsidTr="00DD2213">
        <w:trPr>
          <w:trHeight w:val="5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1A7E" w14:textId="498C9729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36.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1A0F" w14:textId="5EE92BC0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7376" w14:textId="3240448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ramipryl + hydrochlorotiazyd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50AD" w14:textId="53FE2D4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02BE" w14:textId="13E80416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1EF3ED7E" w14:textId="77777777" w:rsidTr="00DD2213">
        <w:trPr>
          <w:trHeight w:val="5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7956" w14:textId="783060FD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7854B3">
              <w:rPr>
                <w:rFonts w:ascii="Lato" w:hAnsi="Lato" w:cstheme="majorHAnsi"/>
                <w:sz w:val="18"/>
                <w:szCs w:val="18"/>
              </w:rPr>
              <w:t>37</w:t>
            </w:r>
            <w:r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CF74" w14:textId="6806C0F6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6E9B" w14:textId="66259793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amlodypina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0581" w14:textId="591C3710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ED7F" w14:textId="2215ABFA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28750AD1" w14:textId="77777777" w:rsidTr="00DD2213">
        <w:trPr>
          <w:trHeight w:val="5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3417" w14:textId="407AE875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38.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3451" w14:textId="429EF741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D8B8" w14:textId="67804F3A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hydrochlorotiazyd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0E1E" w14:textId="2A795015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77BA" w14:textId="5013A000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5822341C" w14:textId="77777777" w:rsidTr="00DD2213">
        <w:trPr>
          <w:trHeight w:val="692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24B8" w14:textId="6CBFCBEA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39.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6E19" w14:textId="192D24A8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3465" w14:textId="73E3FF25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walsartan + hydrochlorotiazyd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C4CF" w14:textId="0B02055B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02ED" w14:textId="6176F542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  <w:tr w:rsidR="00DD2213" w:rsidRPr="00DD2213" w14:paraId="6A5E23AD" w14:textId="77777777" w:rsidTr="00DD2213">
        <w:trPr>
          <w:trHeight w:val="5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AC05" w14:textId="0DBD426C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lastRenderedPageBreak/>
              <w:t>40.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2132" w14:textId="41603D6B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b/>
                <w:bCs/>
                <w:sz w:val="18"/>
                <w:szCs w:val="18"/>
              </w:rPr>
              <w:t>Różne produkty handlowe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4BCA" w14:textId="24210EEF" w:rsidR="00DD2213" w:rsidRPr="00DD2213" w:rsidRDefault="00DD2213" w:rsidP="00DD2213">
            <w:pPr>
              <w:keepLines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telmisartan + indapamid</w:t>
            </w:r>
          </w:p>
        </w:tc>
        <w:tc>
          <w:tcPr>
            <w:tcW w:w="1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48F2" w14:textId="679431B9" w:rsidR="00DD2213" w:rsidRPr="00DD2213" w:rsidRDefault="00DD2213" w:rsidP="00DD2213">
            <w:pPr>
              <w:keepLines/>
              <w:spacing w:before="60" w:after="60" w:line="240" w:lineRule="auto"/>
              <w:ind w:left="63"/>
              <w:jc w:val="center"/>
              <w:rPr>
                <w:rFonts w:ascii="Lato" w:hAnsi="Lato" w:cstheme="majorHAnsi"/>
                <w:color w:val="000000" w:themeColor="text1"/>
                <w:sz w:val="18"/>
                <w:szCs w:val="18"/>
              </w:rPr>
            </w:pPr>
            <w:r w:rsidRPr="00DD2213">
              <w:rPr>
                <w:rFonts w:ascii="Lato" w:hAnsi="Lato" w:cstheme="majorHAnsi"/>
                <w:color w:val="000000"/>
                <w:sz w:val="18"/>
                <w:szCs w:val="18"/>
              </w:rPr>
              <w:t>Nadciśnienie tętnicze u osób dorosłych, w przypadkach innych niż określono w ChPL</w:t>
            </w:r>
          </w:p>
        </w:tc>
        <w:tc>
          <w:tcPr>
            <w:tcW w:w="1861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271B" w14:textId="4122722C" w:rsidR="00DD2213" w:rsidRPr="00DD2213" w:rsidRDefault="00DD2213" w:rsidP="00DD2213">
            <w:pPr>
              <w:keepLines/>
              <w:spacing w:before="60" w:after="60" w:line="240" w:lineRule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</w:p>
        </w:tc>
      </w:tr>
    </w:tbl>
    <w:p w14:paraId="5805F36A" w14:textId="301B79F8" w:rsidR="000B14BF" w:rsidRPr="00DD2213" w:rsidRDefault="000B14BF">
      <w:pPr>
        <w:rPr>
          <w:rFonts w:ascii="Lato" w:hAnsi="Lato" w:cstheme="majorHAnsi"/>
          <w:sz w:val="18"/>
          <w:szCs w:val="18"/>
        </w:rPr>
      </w:pPr>
    </w:p>
    <w:p w14:paraId="0FB61AF3" w14:textId="77777777" w:rsidR="00C55C4A" w:rsidRDefault="00C55C4A">
      <w:pPr>
        <w:rPr>
          <w:rFonts w:ascii="Lato" w:hAnsi="Lato" w:cstheme="majorHAnsi"/>
        </w:rPr>
      </w:pPr>
    </w:p>
    <w:p w14:paraId="7F2A76BF" w14:textId="2D1D0FE2" w:rsidR="00AB0DC2" w:rsidRDefault="00AB0DC2" w:rsidP="00AB0DC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3" w:name="_Hlk153177630"/>
      <w:r>
        <w:rPr>
          <w:rFonts w:ascii="Lato" w:hAnsi="Lato"/>
          <w:b/>
          <w:bCs/>
          <w:color w:val="00B0F0"/>
          <w:sz w:val="28"/>
          <w:szCs w:val="28"/>
        </w:rPr>
        <w:t xml:space="preserve">LISTA BEZPŁATNYCH LEKÓW DLA SENIORÓW W WIEKU POWYŻEJ 65. ROKU ŻYCIA, DZIECI </w:t>
      </w:r>
      <w:r>
        <w:rPr>
          <w:rFonts w:ascii="Lato" w:hAnsi="Lato"/>
          <w:b/>
          <w:bCs/>
          <w:color w:val="00B0F0"/>
          <w:sz w:val="28"/>
          <w:szCs w:val="28"/>
        </w:rPr>
        <w:br/>
        <w:t>I MŁODZIEŻY W WIEKU DO 18. ROKU ŻYCIA ORAZ KOBIET W OKRESIE CIĄŻY ALBO POŁOGU</w:t>
      </w:r>
    </w:p>
    <w:p w14:paraId="1B1A75A6" w14:textId="77777777" w:rsidR="00AB0DC2" w:rsidRDefault="00AB0DC2" w:rsidP="00AB0DC2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Zgodnie z treścią ustawy z dnia 13 lipca 2023 r. o zmianie ustawy o świadczeniach opieki zdrowotnej finansowanych ze środków publicznych oraz ustawy o refundacji leków, środków spożywczych specjalnego przeznaczenia żywieniowego oraz wyrobów medycznych (Dz. U. 2023 r. poz. 1733), rozszerzono grono osób, którym przysługuje bezpłatne zaopatrzenie w leki, środki spożywcze specjalnego przeznaczenia żywieniowego oraz wyroby medyczne na osoby, które nie ukończyły 18. roku życia oraz osoby, które ukończyły 65. rok życia. We współpracy z konsultantami krajowymi, Narodowym Funduszem Zdrowia oraz Agencją Oceny Technologii Medycznych i Taryfikacji opracowano:</w:t>
      </w:r>
    </w:p>
    <w:p w14:paraId="6120294F" w14:textId="77777777" w:rsidR="00AB0DC2" w:rsidRDefault="00AB0DC2" w:rsidP="00AB0DC2">
      <w:pPr>
        <w:numPr>
          <w:ilvl w:val="0"/>
          <w:numId w:val="30"/>
        </w:numPr>
        <w:suppressAutoHyphens w:val="0"/>
        <w:spacing w:line="360" w:lineRule="auto"/>
        <w:contextualSpacing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wykaz D1 - Leki przysługujące świadczeniobiorcom poniżej 18. roku życia,</w:t>
      </w:r>
    </w:p>
    <w:p w14:paraId="19B68AD0" w14:textId="155AA649" w:rsidR="00AB0DC2" w:rsidRDefault="00AB0DC2" w:rsidP="00AB0DC2">
      <w:pPr>
        <w:numPr>
          <w:ilvl w:val="0"/>
          <w:numId w:val="30"/>
        </w:numPr>
        <w:suppressAutoHyphens w:val="0"/>
        <w:spacing w:line="360" w:lineRule="auto"/>
        <w:ind w:left="714" w:hanging="357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 xml:space="preserve">wykaz D2 - Leki przysługujące świadczeniobiorcom </w:t>
      </w:r>
      <w:bookmarkStart w:id="4" w:name="_Hlk143513407"/>
      <w:r>
        <w:rPr>
          <w:rFonts w:ascii="Lato" w:hAnsi="Lato"/>
        </w:rPr>
        <w:t>powyżej 65. roku życia</w:t>
      </w:r>
      <w:bookmarkEnd w:id="4"/>
      <w:r>
        <w:rPr>
          <w:rFonts w:ascii="Lato" w:hAnsi="Lato"/>
        </w:rPr>
        <w:t>.</w:t>
      </w:r>
    </w:p>
    <w:p w14:paraId="568BC284" w14:textId="5A4CF3F3" w:rsidR="008B4CDA" w:rsidRPr="00AB0DC2" w:rsidRDefault="00AB0DC2" w:rsidP="00AB0DC2">
      <w:pPr>
        <w:suppressAutoHyphens w:val="0"/>
        <w:spacing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Wykaz D1 i D2 (rozszerzenie poprzedniej listy bezpłatnych leków 75+) obowiązują od 1 września 2023 r.</w:t>
      </w:r>
    </w:p>
    <w:p w14:paraId="0AF814AC" w14:textId="19AECBBF" w:rsidR="00AB0DC2" w:rsidRDefault="00AB0DC2" w:rsidP="00AB0DC2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Wykaz nieodpłatnych leków dla dzieci i młodzieży w wieku do 18. roku życia zawiera </w:t>
      </w:r>
      <w:r>
        <w:rPr>
          <w:rFonts w:ascii="Lato" w:hAnsi="Lato"/>
          <w:b/>
          <w:bCs/>
        </w:rPr>
        <w:t>ponad 2 800 leków</w:t>
      </w:r>
      <w:r>
        <w:rPr>
          <w:rFonts w:ascii="Lato" w:hAnsi="Lato"/>
        </w:rPr>
        <w:t xml:space="preserve"> rozumianych jako indywidualne kody GTIN. Lista „18-” obejmuje </w:t>
      </w:r>
      <w:r>
        <w:rPr>
          <w:rFonts w:ascii="Lato" w:hAnsi="Lato"/>
          <w:b/>
          <w:bCs/>
        </w:rPr>
        <w:t>prawie</w:t>
      </w:r>
      <w:r>
        <w:rPr>
          <w:rFonts w:ascii="Lato" w:hAnsi="Lato"/>
        </w:rPr>
        <w:t xml:space="preserve"> </w:t>
      </w:r>
      <w:r>
        <w:rPr>
          <w:rFonts w:ascii="Lato" w:hAnsi="Lato"/>
          <w:b/>
          <w:bCs/>
        </w:rPr>
        <w:t>280 substancji czynnych</w:t>
      </w:r>
      <w:r>
        <w:rPr>
          <w:rFonts w:ascii="Lato" w:hAnsi="Lato"/>
        </w:rPr>
        <w:t xml:space="preserve">. Wśród tej grupy produktów leczniczych znalazły się m.in. leki: antyhistaminowe, hipoglikemizujące, hormonalne, immunostymulujące, immunosupresyjne, okulistyczne, przeciwbakteryjne, przeciwgrzybicze, przeciwwirusowe, przeciwbólowe, przeciwzakaźne, przeciwdrgawkowe, stosowane w chorobach dróg oddechowych, stosowane w nadciśnieniu tętniczym, stosowane w chorobach urologicznych, stosowane w chorobach układu pokarmowego czy szczepionki. </w:t>
      </w:r>
    </w:p>
    <w:p w14:paraId="6A3DCC6B" w14:textId="13A4D2A6" w:rsidR="00AB0DC2" w:rsidRDefault="00AB0DC2" w:rsidP="00AB0DC2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Wykaz nieodpłatnych leków dla seniorów powyżej 65. roku życia zawiera </w:t>
      </w:r>
      <w:r>
        <w:rPr>
          <w:rFonts w:ascii="Lato" w:hAnsi="Lato"/>
          <w:b/>
          <w:bCs/>
        </w:rPr>
        <w:t>prawie 3 800 leków</w:t>
      </w:r>
      <w:r>
        <w:rPr>
          <w:rFonts w:ascii="Lato" w:hAnsi="Lato"/>
        </w:rPr>
        <w:t xml:space="preserve"> rozumianych jako indywidualne kody GTIN. Lista „65+” obejmuje </w:t>
      </w:r>
      <w:r w:rsidR="008B4CDA">
        <w:rPr>
          <w:rFonts w:ascii="Lato" w:hAnsi="Lato"/>
          <w:b/>
          <w:bCs/>
        </w:rPr>
        <w:t>około</w:t>
      </w:r>
      <w:r>
        <w:rPr>
          <w:rFonts w:ascii="Lato" w:hAnsi="Lato"/>
          <w:b/>
          <w:bCs/>
        </w:rPr>
        <w:t xml:space="preserve"> 420 substancji czynnych</w:t>
      </w:r>
      <w:r w:rsidR="008B4CDA">
        <w:rPr>
          <w:rFonts w:ascii="Lato" w:hAnsi="Lato"/>
        </w:rPr>
        <w:t xml:space="preserve">. </w:t>
      </w:r>
      <w:r>
        <w:rPr>
          <w:rFonts w:ascii="Lato" w:hAnsi="Lato"/>
        </w:rPr>
        <w:t xml:space="preserve">Wśród tej grupy produktów leczniczych znalazły się m.in. leki: antyhistaminowe, cytostatyczne, ginekologiczne, hipoglikemizujące, hipolipemizujące hipotensyjne, hormonalne, immunostymulujące, immunosupresyjne, okulistyczne, przeciwbakteryjne, przeciwgrzybicze, przeciwwirusowe, przeciwbólowe, przeciwzakaźne, przeciwdrgawkowe, przeciwreumatyczne, </w:t>
      </w:r>
      <w:r>
        <w:rPr>
          <w:rFonts w:ascii="Lato" w:hAnsi="Lato"/>
        </w:rPr>
        <w:lastRenderedPageBreak/>
        <w:t>przeciwparkinsonowskie, przeciwzakrzepowe, stosowane w chorobach dróg oddechowych, stosowane w chorobach urologicznych, stosowane w chorobach układu pokarmowego czy szczepionki.</w:t>
      </w:r>
    </w:p>
    <w:p w14:paraId="1C2D2D94" w14:textId="28A030A2" w:rsidR="00C6637A" w:rsidRDefault="008B4CDA" w:rsidP="00847068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W  roku 2023 rozszerzono wykaz bezpłatnych leków dla kobiet w ciąży dodatkowo o okres połogu. Ponadto,</w:t>
      </w:r>
      <w:r w:rsidR="00847068">
        <w:rPr>
          <w:rFonts w:ascii="Lato" w:hAnsi="Lato"/>
        </w:rPr>
        <w:t xml:space="preserve"> wśród produktów uwzględnionych w przedmiotowym wykazie będą mogły znaleźć się obok leków, również wyroby medyczne. Wykaz nieodpłatnych produktów dla kobiet w okresie ciąży i połogu zawiera </w:t>
      </w:r>
      <w:r w:rsidR="00847068" w:rsidRPr="00847068">
        <w:rPr>
          <w:rFonts w:ascii="Lato" w:hAnsi="Lato"/>
          <w:b/>
          <w:bCs/>
        </w:rPr>
        <w:t>ponad 390 produktów</w:t>
      </w:r>
      <w:r w:rsidR="00847068">
        <w:rPr>
          <w:rFonts w:ascii="Lato" w:hAnsi="Lato"/>
          <w:b/>
          <w:bCs/>
        </w:rPr>
        <w:t xml:space="preserve"> </w:t>
      </w:r>
      <w:r w:rsidR="00847068">
        <w:rPr>
          <w:rFonts w:ascii="Lato" w:hAnsi="Lato"/>
        </w:rPr>
        <w:t xml:space="preserve">rozumianych jako indywidualne kody GTIN. . Lista „Ciąża+” obejmuje </w:t>
      </w:r>
      <w:r w:rsidR="00847068">
        <w:rPr>
          <w:rFonts w:ascii="Lato" w:hAnsi="Lato"/>
          <w:b/>
          <w:bCs/>
        </w:rPr>
        <w:t>ponad 42 substancji czynnych</w:t>
      </w:r>
      <w:r w:rsidR="00847068">
        <w:rPr>
          <w:rFonts w:ascii="Lato" w:hAnsi="Lato"/>
        </w:rPr>
        <w:t>. Wśród tej grupy produktów leczniczych znalazły się m.in. leki: hipoglikemizujące, hormonalne, przeciw</w:t>
      </w:r>
      <w:r w:rsidR="00C6637A">
        <w:rPr>
          <w:rFonts w:ascii="Lato" w:hAnsi="Lato"/>
        </w:rPr>
        <w:t>padaczkowe</w:t>
      </w:r>
      <w:r w:rsidR="00847068">
        <w:rPr>
          <w:rFonts w:ascii="Lato" w:hAnsi="Lato"/>
        </w:rPr>
        <w:t>,</w:t>
      </w:r>
      <w:r w:rsidR="00C6637A">
        <w:rPr>
          <w:rFonts w:ascii="Lato" w:hAnsi="Lato"/>
        </w:rPr>
        <w:t xml:space="preserve"> </w:t>
      </w:r>
      <w:r w:rsidR="00847068">
        <w:rPr>
          <w:rFonts w:ascii="Lato" w:hAnsi="Lato"/>
        </w:rPr>
        <w:t>przeciwzakrzepowe, stosowane w chorobach dróg oddechowych, stosowane w chorobach układu pokarmowego czy szczepionki.</w:t>
      </w:r>
      <w:bookmarkEnd w:id="3"/>
    </w:p>
    <w:sectPr w:rsidR="00C6637A" w:rsidSect="00BA1ACD">
      <w:headerReference w:type="first" r:id="rId12"/>
      <w:pgSz w:w="16838" w:h="11906" w:orient="landscape"/>
      <w:pgMar w:top="1135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3420" w14:textId="77777777" w:rsidR="000350EA" w:rsidRDefault="000350EA">
      <w:pPr>
        <w:spacing w:after="0" w:line="240" w:lineRule="auto"/>
      </w:pPr>
      <w:r>
        <w:separator/>
      </w:r>
    </w:p>
  </w:endnote>
  <w:endnote w:type="continuationSeparator" w:id="0">
    <w:p w14:paraId="10B3BFE1" w14:textId="77777777" w:rsidR="000350EA" w:rsidRDefault="0003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33F2" w14:textId="77777777" w:rsidR="000350EA" w:rsidRDefault="000350EA">
      <w:pPr>
        <w:spacing w:after="0" w:line="240" w:lineRule="auto"/>
      </w:pPr>
      <w:r>
        <w:separator/>
      </w:r>
    </w:p>
  </w:footnote>
  <w:footnote w:type="continuationSeparator" w:id="0">
    <w:p w14:paraId="31F817CB" w14:textId="77777777" w:rsidR="000350EA" w:rsidRDefault="0003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0756" w14:textId="6F0D6A95" w:rsidR="008300C4" w:rsidRDefault="008D3B01">
    <w:pPr>
      <w:pStyle w:val="Nagwek"/>
    </w:pPr>
    <w:bookmarkStart w:id="5" w:name="_Hlk74147372"/>
    <w:bookmarkEnd w:id="5"/>
    <w:r>
      <w:rPr>
        <w:noProof/>
        <w:lang w:eastAsia="pl-PL"/>
      </w:rPr>
      <w:drawing>
        <wp:inline distT="0" distB="0" distL="0" distR="0" wp14:anchorId="42AF5BC3" wp14:editId="5C602486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405"/>
    <w:multiLevelType w:val="hybridMultilevel"/>
    <w:tmpl w:val="B308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CF6"/>
    <w:multiLevelType w:val="hybridMultilevel"/>
    <w:tmpl w:val="1128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1D5"/>
    <w:multiLevelType w:val="hybridMultilevel"/>
    <w:tmpl w:val="CED09C14"/>
    <w:lvl w:ilvl="0" w:tplc="41943DD6">
      <w:start w:val="1"/>
      <w:numFmt w:val="lowerLetter"/>
      <w:lvlText w:val="%1)"/>
      <w:lvlJc w:val="left"/>
      <w:pPr>
        <w:ind w:left="567" w:hanging="207"/>
      </w:pPr>
      <w:rPr>
        <w:rFonts w:ascii="Lato" w:eastAsiaTheme="minorHAnsi" w:hAnsi="Lato" w:cs="Arial" w:hint="default"/>
      </w:rPr>
    </w:lvl>
    <w:lvl w:ilvl="1" w:tplc="252C51DC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53D4"/>
    <w:multiLevelType w:val="hybridMultilevel"/>
    <w:tmpl w:val="414E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3770"/>
    <w:multiLevelType w:val="hybridMultilevel"/>
    <w:tmpl w:val="29F4F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754095A"/>
    <w:multiLevelType w:val="hybridMultilevel"/>
    <w:tmpl w:val="E8244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7F2B"/>
    <w:multiLevelType w:val="hybridMultilevel"/>
    <w:tmpl w:val="5E20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5B92"/>
    <w:multiLevelType w:val="hybridMultilevel"/>
    <w:tmpl w:val="2884C96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5CDC"/>
    <w:multiLevelType w:val="hybridMultilevel"/>
    <w:tmpl w:val="23BA0A4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D741F7C"/>
    <w:multiLevelType w:val="hybridMultilevel"/>
    <w:tmpl w:val="2FFE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F66E36"/>
    <w:multiLevelType w:val="hybridMultilevel"/>
    <w:tmpl w:val="B5C4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48AE"/>
    <w:multiLevelType w:val="hybridMultilevel"/>
    <w:tmpl w:val="FDF4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47E04"/>
    <w:multiLevelType w:val="hybridMultilevel"/>
    <w:tmpl w:val="5CC0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22FBC"/>
    <w:multiLevelType w:val="hybridMultilevel"/>
    <w:tmpl w:val="1A12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E6242"/>
    <w:multiLevelType w:val="hybridMultilevel"/>
    <w:tmpl w:val="A346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90071">
    <w:abstractNumId w:val="26"/>
  </w:num>
  <w:num w:numId="2" w16cid:durableId="532773165">
    <w:abstractNumId w:val="19"/>
  </w:num>
  <w:num w:numId="3" w16cid:durableId="1009796990">
    <w:abstractNumId w:val="7"/>
  </w:num>
  <w:num w:numId="4" w16cid:durableId="2125340163">
    <w:abstractNumId w:val="12"/>
  </w:num>
  <w:num w:numId="5" w16cid:durableId="1838882185">
    <w:abstractNumId w:val="13"/>
  </w:num>
  <w:num w:numId="6" w16cid:durableId="1524631624">
    <w:abstractNumId w:val="23"/>
  </w:num>
  <w:num w:numId="7" w16cid:durableId="1773017304">
    <w:abstractNumId w:val="3"/>
  </w:num>
  <w:num w:numId="8" w16cid:durableId="126163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8332510">
    <w:abstractNumId w:val="9"/>
  </w:num>
  <w:num w:numId="10" w16cid:durableId="673920086">
    <w:abstractNumId w:val="5"/>
  </w:num>
  <w:num w:numId="11" w16cid:durableId="979110544">
    <w:abstractNumId w:val="30"/>
  </w:num>
  <w:num w:numId="12" w16cid:durableId="342778382">
    <w:abstractNumId w:val="6"/>
  </w:num>
  <w:num w:numId="13" w16cid:durableId="615218971">
    <w:abstractNumId w:val="14"/>
  </w:num>
  <w:num w:numId="14" w16cid:durableId="1647124833">
    <w:abstractNumId w:val="17"/>
  </w:num>
  <w:num w:numId="15" w16cid:durableId="1352222192">
    <w:abstractNumId w:val="15"/>
  </w:num>
  <w:num w:numId="16" w16cid:durableId="1942833627">
    <w:abstractNumId w:val="25"/>
  </w:num>
  <w:num w:numId="17" w16cid:durableId="1157845039">
    <w:abstractNumId w:val="20"/>
  </w:num>
  <w:num w:numId="18" w16cid:durableId="1796680411">
    <w:abstractNumId w:val="22"/>
  </w:num>
  <w:num w:numId="19" w16cid:durableId="2099014795">
    <w:abstractNumId w:val="21"/>
  </w:num>
  <w:num w:numId="20" w16cid:durableId="69543524">
    <w:abstractNumId w:val="4"/>
  </w:num>
  <w:num w:numId="21" w16cid:durableId="1530946489">
    <w:abstractNumId w:val="0"/>
  </w:num>
  <w:num w:numId="22" w16cid:durableId="757291277">
    <w:abstractNumId w:val="27"/>
  </w:num>
  <w:num w:numId="23" w16cid:durableId="1781562961">
    <w:abstractNumId w:val="29"/>
  </w:num>
  <w:num w:numId="24" w16cid:durableId="1770471421">
    <w:abstractNumId w:val="11"/>
  </w:num>
  <w:num w:numId="25" w16cid:durableId="594823733">
    <w:abstractNumId w:val="18"/>
  </w:num>
  <w:num w:numId="26" w16cid:durableId="1890258346">
    <w:abstractNumId w:val="2"/>
  </w:num>
  <w:num w:numId="27" w16cid:durableId="1649245800">
    <w:abstractNumId w:val="24"/>
  </w:num>
  <w:num w:numId="28" w16cid:durableId="611791289">
    <w:abstractNumId w:val="1"/>
  </w:num>
  <w:num w:numId="29" w16cid:durableId="481896344">
    <w:abstractNumId w:val="10"/>
  </w:num>
  <w:num w:numId="30" w16cid:durableId="803155715">
    <w:abstractNumId w:val="16"/>
  </w:num>
  <w:num w:numId="31" w16cid:durableId="20250080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02"/>
    <w:rsid w:val="00004386"/>
    <w:rsid w:val="000350EA"/>
    <w:rsid w:val="00051253"/>
    <w:rsid w:val="0006343F"/>
    <w:rsid w:val="00091CDE"/>
    <w:rsid w:val="00097FDB"/>
    <w:rsid w:val="000B14BF"/>
    <w:rsid w:val="000D0826"/>
    <w:rsid w:val="0010323F"/>
    <w:rsid w:val="00131DAC"/>
    <w:rsid w:val="001330D1"/>
    <w:rsid w:val="00146A54"/>
    <w:rsid w:val="00166A65"/>
    <w:rsid w:val="001C0643"/>
    <w:rsid w:val="001C7C0D"/>
    <w:rsid w:val="001D42A3"/>
    <w:rsid w:val="0022056F"/>
    <w:rsid w:val="00237F9E"/>
    <w:rsid w:val="002541D7"/>
    <w:rsid w:val="002667F9"/>
    <w:rsid w:val="0028574E"/>
    <w:rsid w:val="002B1197"/>
    <w:rsid w:val="002B1DA1"/>
    <w:rsid w:val="002F3CB0"/>
    <w:rsid w:val="0032209B"/>
    <w:rsid w:val="0034231B"/>
    <w:rsid w:val="00351237"/>
    <w:rsid w:val="0039096A"/>
    <w:rsid w:val="003B16BD"/>
    <w:rsid w:val="003C2525"/>
    <w:rsid w:val="003C658E"/>
    <w:rsid w:val="0040222E"/>
    <w:rsid w:val="00433F1E"/>
    <w:rsid w:val="004602B0"/>
    <w:rsid w:val="00483B69"/>
    <w:rsid w:val="00486D5B"/>
    <w:rsid w:val="004A60C6"/>
    <w:rsid w:val="004B709A"/>
    <w:rsid w:val="004C305B"/>
    <w:rsid w:val="004D4365"/>
    <w:rsid w:val="004D78D6"/>
    <w:rsid w:val="005041F2"/>
    <w:rsid w:val="0051089F"/>
    <w:rsid w:val="00536D0B"/>
    <w:rsid w:val="00575184"/>
    <w:rsid w:val="005A49BC"/>
    <w:rsid w:val="005E0AF0"/>
    <w:rsid w:val="005F3891"/>
    <w:rsid w:val="006110C1"/>
    <w:rsid w:val="0062070A"/>
    <w:rsid w:val="006444BE"/>
    <w:rsid w:val="00652447"/>
    <w:rsid w:val="00652917"/>
    <w:rsid w:val="006B140F"/>
    <w:rsid w:val="006E1B8C"/>
    <w:rsid w:val="006E21D3"/>
    <w:rsid w:val="00700B89"/>
    <w:rsid w:val="007020B6"/>
    <w:rsid w:val="00703C04"/>
    <w:rsid w:val="007238E4"/>
    <w:rsid w:val="00760E7F"/>
    <w:rsid w:val="00763DEC"/>
    <w:rsid w:val="007645CA"/>
    <w:rsid w:val="007854B3"/>
    <w:rsid w:val="00804B8E"/>
    <w:rsid w:val="00816802"/>
    <w:rsid w:val="00816ED3"/>
    <w:rsid w:val="008300C4"/>
    <w:rsid w:val="00847068"/>
    <w:rsid w:val="00866175"/>
    <w:rsid w:val="00880D84"/>
    <w:rsid w:val="00886A7F"/>
    <w:rsid w:val="0089265E"/>
    <w:rsid w:val="008A241B"/>
    <w:rsid w:val="008A3002"/>
    <w:rsid w:val="008B221E"/>
    <w:rsid w:val="008B4CDA"/>
    <w:rsid w:val="008D3B01"/>
    <w:rsid w:val="008F02E9"/>
    <w:rsid w:val="00931E90"/>
    <w:rsid w:val="00951BFC"/>
    <w:rsid w:val="009534DF"/>
    <w:rsid w:val="00974E35"/>
    <w:rsid w:val="00986C4C"/>
    <w:rsid w:val="009B4965"/>
    <w:rsid w:val="009E306A"/>
    <w:rsid w:val="009E560E"/>
    <w:rsid w:val="00A04370"/>
    <w:rsid w:val="00A541E2"/>
    <w:rsid w:val="00A715CC"/>
    <w:rsid w:val="00AB0DC2"/>
    <w:rsid w:val="00B25313"/>
    <w:rsid w:val="00B5310B"/>
    <w:rsid w:val="00B8735B"/>
    <w:rsid w:val="00B9028B"/>
    <w:rsid w:val="00BA1ACD"/>
    <w:rsid w:val="00BB115A"/>
    <w:rsid w:val="00BC5518"/>
    <w:rsid w:val="00BD625C"/>
    <w:rsid w:val="00C03781"/>
    <w:rsid w:val="00C15C71"/>
    <w:rsid w:val="00C23F56"/>
    <w:rsid w:val="00C24E46"/>
    <w:rsid w:val="00C510DE"/>
    <w:rsid w:val="00C55C4A"/>
    <w:rsid w:val="00C64949"/>
    <w:rsid w:val="00C6637A"/>
    <w:rsid w:val="00C67ADF"/>
    <w:rsid w:val="00C77C8F"/>
    <w:rsid w:val="00C87906"/>
    <w:rsid w:val="00CB4831"/>
    <w:rsid w:val="00CC71A7"/>
    <w:rsid w:val="00CD04F5"/>
    <w:rsid w:val="00D019FD"/>
    <w:rsid w:val="00D24198"/>
    <w:rsid w:val="00D37E96"/>
    <w:rsid w:val="00D44863"/>
    <w:rsid w:val="00D71BA7"/>
    <w:rsid w:val="00DA0796"/>
    <w:rsid w:val="00DB1C58"/>
    <w:rsid w:val="00DC2663"/>
    <w:rsid w:val="00DD2213"/>
    <w:rsid w:val="00DF2C79"/>
    <w:rsid w:val="00E01DB2"/>
    <w:rsid w:val="00E105EB"/>
    <w:rsid w:val="00E106D9"/>
    <w:rsid w:val="00E23C62"/>
    <w:rsid w:val="00E25EC3"/>
    <w:rsid w:val="00E26A4D"/>
    <w:rsid w:val="00E26F6A"/>
    <w:rsid w:val="00EB544D"/>
    <w:rsid w:val="00EC2373"/>
    <w:rsid w:val="00F40DE7"/>
    <w:rsid w:val="00F43B23"/>
    <w:rsid w:val="00F72C52"/>
    <w:rsid w:val="00F83F44"/>
    <w:rsid w:val="00F91BFB"/>
    <w:rsid w:val="00FA08BE"/>
    <w:rsid w:val="00FD3BAC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4A9"/>
  <w15:chartTrackingRefBased/>
  <w15:docId w15:val="{0C29BA6F-0725-4ABA-BB66-925A9D5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80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16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01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B119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A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2667F9"/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2667F9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4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4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4%20Wykresy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4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stycze&#324;%202024%20Wykresy%20wskazania%20od%20201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  <a:latin typeface="Lato" panose="020F0502020204030203" pitchFamily="34" charset="-18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- ONKO/NIEONKO</a:t>
            </a:r>
            <a:endParaRPr lang="pl-PL" sz="9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layout>
        <c:manualLayout>
          <c:xMode val="edge"/>
          <c:yMode val="edge"/>
          <c:x val="0.18127574444073968"/>
          <c:y val="3.022540637355952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3425535573771353E-2"/>
          <c:y val="0.13625000000000001"/>
          <c:w val="0.90787555464361747"/>
          <c:h val="0.6999918894258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ONKO_NIEONKO!$A$3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ONKO_NIEONKO!$C$2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ONKO_NIEONKO!$C$3</c:f>
              <c:numCache>
                <c:formatCode>General</c:formatCode>
                <c:ptCount val="1"/>
                <c:pt idx="0">
                  <c:v>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59A-45CB-9541-13D7D1B5C384}"/>
            </c:ext>
          </c:extLst>
        </c:ser>
        <c:ser>
          <c:idx val="1"/>
          <c:order val="1"/>
          <c:tx>
            <c:strRef>
              <c:f>ONKO_NIEONKO!$A$4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ONKO_NIEONKO!$C$2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ONKO_NIEONKO!$C$4</c:f>
              <c:numCache>
                <c:formatCode>General</c:formatCode>
                <c:ptCount val="1"/>
                <c:pt idx="0">
                  <c:v>70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59A-45CB-9541-13D7D1B5C3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85494199216E-2"/>
          <c:y val="0.92058396133959652"/>
          <c:w val="0.89999982901160158"/>
          <c:h val="6.6540502179716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Lao UI" panose="020B0502040204020203" pitchFamily="34" charset="0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  <a:cs typeface="Lao UI" panose="020B0502040204020203" pitchFamily="34" charset="0"/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  <a:latin typeface="Lato" panose="020F0502020204030203" pitchFamily="34" charset="-18"/>
                <a:cs typeface="Lao UI" panose="020B0502040204020203" pitchFamily="34" charset="0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  <a:cs typeface="Lao UI" panose="020B0502040204020203" pitchFamily="34" charset="0"/>
              </a:rPr>
              <a:t>- kategorie dostępności</a:t>
            </a:r>
            <a:endParaRPr lang="pl-PL" sz="900">
              <a:solidFill>
                <a:sysClr val="windowText" lastClr="000000"/>
              </a:solidFill>
              <a:effectLst/>
              <a:latin typeface="Lato" panose="020F0502020204030203" pitchFamily="34" charset="-18"/>
              <a:cs typeface="Lao UI" panose="020B0502040204020203" pitchFamily="34" charset="0"/>
            </a:endParaRPr>
          </a:p>
        </c:rich>
      </c:tx>
      <c:layout>
        <c:manualLayout>
          <c:xMode val="edge"/>
          <c:yMode val="edge"/>
          <c:x val="0.1899652476107732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Lao UI" panose="020B0502040204020203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1798159377862174E-2"/>
          <c:y val="0.13890153948612044"/>
          <c:w val="0.87610054933402659"/>
          <c:h val="0.704206426353903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'Kategoria dostępności'!$A$5</c:f>
              <c:strCache>
                <c:ptCount val="1"/>
                <c:pt idx="0">
                  <c:v>Program lekowy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dostępności'!$C$2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'Kategoria dostępności'!$C$5</c:f>
              <c:numCache>
                <c:formatCode>General</c:formatCode>
                <c:ptCount val="1"/>
                <c:pt idx="0">
                  <c:v>88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816-4AC6-8735-C8EDD082A566}"/>
            </c:ext>
          </c:extLst>
        </c:ser>
        <c:ser>
          <c:idx val="1"/>
          <c:order val="1"/>
          <c:tx>
            <c:strRef>
              <c:f>'Kategoria dostępności'!$A$3</c:f>
              <c:strCache>
                <c:ptCount val="1"/>
                <c:pt idx="0">
                  <c:v>Apteka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dostępności'!$C$2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'Kategoria dostępności'!$C$3</c:f>
              <c:numCache>
                <c:formatCode>General</c:formatCode>
                <c:ptCount val="1"/>
                <c:pt idx="0">
                  <c:v>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816-4AC6-8735-C8EDD082A566}"/>
            </c:ext>
          </c:extLst>
        </c:ser>
        <c:ser>
          <c:idx val="2"/>
          <c:order val="2"/>
          <c:tx>
            <c:strRef>
              <c:f>'Kategoria dostępności'!$A$4</c:f>
              <c:strCache>
                <c:ptCount val="1"/>
                <c:pt idx="0">
                  <c:v>Chemioterapia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dostępności'!$C$2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'Kategoria dostępności'!$C$4</c:f>
              <c:numCache>
                <c:formatCode>General</c:formatCode>
                <c:ptCount val="1"/>
                <c:pt idx="0">
                  <c:v>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0816-4AC6-8735-C8EDD082A5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8787007"/>
        <c:axId val="1288791583"/>
      </c:barChart>
      <c:catAx>
        <c:axId val="128878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1288791583"/>
        <c:crosses val="autoZero"/>
        <c:auto val="1"/>
        <c:lblAlgn val="ctr"/>
        <c:lblOffset val="100"/>
        <c:noMultiLvlLbl val="0"/>
      </c:catAx>
      <c:valAx>
        <c:axId val="1288791583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128878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1588223620701836"/>
          <c:w val="0.9"/>
          <c:h val="7.13027274837121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>
                <a:solidFill>
                  <a:sysClr val="windowText" lastClr="000000"/>
                </a:solidFill>
                <a:latin typeface="Lato" panose="020F0502020204030203" pitchFamily="34" charset="-18"/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  <a:latin typeface="Lato" panose="020F0502020204030203" pitchFamily="34" charset="-18"/>
              </a:defRPr>
            </a:pPr>
            <a:r>
              <a:rPr lang="pl-PL" sz="900">
                <a:solidFill>
                  <a:sysClr val="windowText" lastClr="000000"/>
                </a:solidFill>
                <a:latin typeface="Lato" panose="020F0502020204030203" pitchFamily="34" charset="-18"/>
              </a:rPr>
              <a:t>- wskazania rzadkie</a:t>
            </a:r>
          </a:p>
        </c:rich>
      </c:tx>
      <c:layout>
        <c:manualLayout>
          <c:xMode val="edge"/>
          <c:yMode val="edge"/>
          <c:x val="0.20685469625048536"/>
          <c:y val="4.728427658003518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1040272564774362"/>
          <c:y val="0.13741505254645636"/>
          <c:w val="0.87182739429894673"/>
          <c:h val="0.71150296091789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'Wskazania rzadkie'!$A$3</c:f>
              <c:strCache>
                <c:ptCount val="1"/>
                <c:pt idx="0">
                  <c:v>Wskazanie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rzadkie'!$C$2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'Wskazania rzadkie'!$C$3</c:f>
              <c:numCache>
                <c:formatCode>General</c:formatCode>
                <c:ptCount val="1"/>
                <c:pt idx="0">
                  <c:v>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928-453A-AF4A-DCC3D769FAE8}"/>
            </c:ext>
          </c:extLst>
        </c:ser>
        <c:ser>
          <c:idx val="1"/>
          <c:order val="1"/>
          <c:tx>
            <c:strRef>
              <c:f>'Wskazania rzadkie'!$A$4</c:f>
              <c:strCache>
                <c:ptCount val="1"/>
                <c:pt idx="0">
                  <c:v>Pozostałe</c:v>
                </c:pt>
              </c:strCache>
              <c:extLst xmlns:c15="http://schemas.microsoft.com/office/drawing/2012/chart"/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rzadkie'!$C$2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'Wskazania rzadkie'!$C$4</c:f>
              <c:numCache>
                <c:formatCode>General</c:formatCode>
                <c:ptCount val="1"/>
                <c:pt idx="0">
                  <c:v>102</c:v>
                </c:pt>
              </c:numCache>
              <c:extLst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D928-453A-AF4A-DCC3D769FA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7167"/>
        <c:axId val="703834255"/>
        <c:extLst/>
      </c:barChart>
      <c:catAx>
        <c:axId val="703837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255"/>
        <c:crosses val="autoZero"/>
        <c:auto val="1"/>
        <c:lblAlgn val="ctr"/>
        <c:lblOffset val="100"/>
        <c:noMultiLvlLbl val="0"/>
      </c:catAx>
      <c:valAx>
        <c:axId val="703834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7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611185929613086"/>
          <c:y val="0.92556267485488408"/>
          <c:w val="0.62777628140773833"/>
          <c:h val="6.5932115704333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</a:t>
            </a:r>
          </a:p>
        </c:rich>
      </c:tx>
      <c:layout>
        <c:manualLayout>
          <c:xMode val="edge"/>
          <c:yMode val="edge"/>
          <c:x val="0.24002162622294568"/>
          <c:y val="9.084620236423934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0.1039712574687854"/>
          <c:w val="0.84009663854336591"/>
          <c:h val="0.80977910706898071"/>
        </c:manualLayout>
      </c:layout>
      <c:barChart>
        <c:barDir val="bar"/>
        <c:grouping val="clustered"/>
        <c:varyColors val="0"/>
        <c:ser>
          <c:idx val="11"/>
          <c:order val="1"/>
          <c:tx>
            <c:strRef>
              <c:f>'onko_2012_-_2024'!$C$2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('onko_2012_-_2024'!$A$3:$A$9,'onko_2012_-_2024'!$A$11:$A$12)</c:f>
              <c:strCache>
                <c:ptCount val="9"/>
                <c:pt idx="0">
                  <c:v>Inne</c:v>
                </c:pt>
                <c:pt idx="1">
                  <c:v>Nowotwory układu 
urologicznego</c:v>
                </c:pt>
                <c:pt idx="2">
                  <c:v>Nowotwory układu 
pokarmowego</c:v>
                </c:pt>
                <c:pt idx="3">
                  <c:v>Nowotwory układu 
oddechowego</c:v>
                </c:pt>
                <c:pt idx="4">
                  <c:v>Nowotwory układu 
endokrynnego</c:v>
                </c:pt>
                <c:pt idx="5">
                  <c:v>Nowotwory skóry</c:v>
                </c:pt>
                <c:pt idx="6">
                  <c:v>Nowotwory nerki</c:v>
                </c:pt>
                <c:pt idx="7">
                  <c:v>Nowotwory 
ginekologiczne</c:v>
                </c:pt>
                <c:pt idx="8">
                  <c:v>Hematoonkologia</c:v>
                </c:pt>
              </c:strCache>
              <c:extLst/>
            </c:strRef>
          </c:cat>
          <c:val>
            <c:numRef>
              <c:f>('onko_2012_-_2024'!$C$3:$C$9,'onko_2012_-_2024'!$C$11:$C$12)</c:f>
              <c:numCache>
                <c:formatCode>General</c:formatCode>
                <c:ptCount val="9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11</c:v>
                </c:pt>
                <c:pt idx="8">
                  <c:v>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E48-4E84-8902-D4B881920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  <c:extLst>
          <c:ext xmlns:c15="http://schemas.microsoft.com/office/drawing/2012/chart" uri="{02D57815-91ED-43cb-92C2-25804820EDAC}">
            <c15:filteredBarSeries>
              <c15:ser>
                <c:idx val="12"/>
                <c:order val="0"/>
                <c:tx>
                  <c:strRef>
                    <c:extLst>
                      <c:ext uri="{02D57815-91ED-43cb-92C2-25804820EDAC}">
                        <c15:formulaRef>
                          <c15:sqref>'onko_2012_-_2024'!$B$2</c15:sqref>
                        </c15:formulaRef>
                      </c:ext>
                    </c:extLst>
                    <c:strCache>
                      <c:ptCount val="1"/>
                      <c:pt idx="0">
                        <c:v>2024
(stan na styczeń)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('onko_2012_-_2024'!$B$3:$B$9,'onko_2012_-_2024'!$B$11:$B$12)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E48-4E84-8902-D4B88192092F}"/>
                  </c:ext>
                </c:extLst>
              </c15:ser>
            </c15:filteredBarSeries>
            <c15:filteredBarSeries>
              <c15:ser>
                <c:idx val="10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'onko_2012_-_2024'!$D$2</c15:sqref>
                        </c15:formulaRef>
                      </c:ext>
                    </c:extLst>
                    <c:strCache>
                      <c:ptCount val="1"/>
                      <c:pt idx="0">
                        <c:v>2022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('onko_2012_-_2024'!$D$3:$D$9,'onko_2012_-_2024'!$D$11:$D$12)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5</c:v>
                      </c:pt>
                      <c:pt idx="7">
                        <c:v>7</c:v>
                      </c:pt>
                      <c:pt idx="8">
                        <c:v>14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E48-4E84-8902-D4B88192092F}"/>
                  </c:ext>
                </c:extLst>
              </c15:ser>
            </c15:filteredBarSeries>
            <c15:filteredBarSeries>
              <c15:ser>
                <c:idx val="9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'onko_2012_-_2024'!$E$2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('onko_2012_-_2024'!$E$3:$E$9,'onko_2012_-_2024'!$E$11:$E$12)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7</c:v>
                      </c:pt>
                      <c:pt idx="4">
                        <c:v>1</c:v>
                      </c:pt>
                      <c:pt idx="5">
                        <c:v>6</c:v>
                      </c:pt>
                      <c:pt idx="6">
                        <c:v>0</c:v>
                      </c:pt>
                      <c:pt idx="7">
                        <c:v>4</c:v>
                      </c:pt>
                      <c:pt idx="8">
                        <c:v>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E48-4E84-8902-D4B88192092F}"/>
                  </c:ext>
                </c:extLst>
              </c15:ser>
            </c15:filteredBarSeries>
            <c15:filteredBarSeries>
              <c15:ser>
                <c:idx val="8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'onko_2012_-_2024'!$F$2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('onko_2012_-_2024'!$F$3:$F$9,'onko_2012_-_2024'!$F$11:$F$12)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4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6</c:v>
                      </c:pt>
                      <c:pt idx="8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E48-4E84-8902-D4B88192092F}"/>
                  </c:ext>
                </c:extLst>
              </c15:ser>
            </c15:filteredBarSeries>
            <c15:filteredBarSeries>
              <c15:ser>
                <c:idx val="7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'onko_2012_-_2024'!$G$2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('onko_2012_-_2024'!$G$3:$G$9,'onko_2012_-_2024'!$G$11:$G$12)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3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4</c:v>
                      </c:pt>
                      <c:pt idx="8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E48-4E84-8902-D4B88192092F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'onko_2012_-_2024'!$H$2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('onko_2012_-_2024'!$H$3:$H$9,'onko_2012_-_2024'!$H$11:$H$12)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3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E48-4E84-8902-D4B88192092F}"/>
                  </c:ext>
                </c:extLst>
              </c15:ser>
            </c15:filteredBarSeries>
            <c15:filteredBarSeries>
              <c15:ser>
                <c:idx val="5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'onko_2012_-_2024'!$I$2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('onko_2012_-_2024'!$I$3:$I$9,'onko_2012_-_2024'!$I$11:$I$12)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3</c:v>
                      </c:pt>
                      <c:pt idx="2">
                        <c:v>4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E48-4E84-8902-D4B88192092F}"/>
                  </c:ext>
                </c:extLst>
              </c15:ser>
            </c15:filteredBarSeries>
            <c15:filteredBarSeries>
              <c15:ser>
                <c:idx val="4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'onko_2012_-_2024'!$J$2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('onko_2012_-_2024'!$J$3:$J$9,'onko_2012_-_2024'!$J$11:$J$12)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E48-4E84-8902-D4B88192092F}"/>
                  </c:ext>
                </c:extLst>
              </c15:ser>
            </c15:filteredBarSeries>
            <c15:filteredBarSeries>
              <c15:ser>
                <c:idx val="3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'onko_2012_-_2024'!$K$2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('onko_2012_-_2024'!$K$3:$K$9,'onko_2012_-_2024'!$K$11:$K$12)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0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8E48-4E84-8902-D4B88192092F}"/>
                  </c:ext>
                </c:extLst>
              </c15:ser>
            </c15:filteredBarSeries>
            <c15:filteredBarSeries>
              <c15:ser>
                <c:idx val="2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'onko_2012_-_2024'!$L$2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('onko_2012_-_2024'!$L$3:$L$9,'onko_2012_-_2024'!$L$11:$L$12)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10</c:v>
                      </c:pt>
                      <c:pt idx="1">
                        <c:v>1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8E48-4E84-8902-D4B88192092F}"/>
                  </c:ext>
                </c:extLst>
              </c15:ser>
            </c15:filteredBarSeries>
            <c15:filteredBarSeries>
              <c15:ser>
                <c:idx val="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'onko_2012_-_2024'!$M$2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('onko_2012_-_2024'!$M$3:$M$9,'onko_2012_-_2024'!$M$11:$M$12)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8E48-4E84-8902-D4B88192092F}"/>
                  </c:ext>
                </c:extLst>
              </c15:ser>
            </c15:filteredBarSeries>
            <c15:filteredBarSeries>
              <c15:ser>
                <c:idx val="0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'onko_2012_-_2024'!$N$2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('onko_2012_-_2024'!$A$3:$A$9,'onko_2012_-_2024'!$A$11:$A$12)</c15:sqref>
                        </c15:formulaRef>
                      </c:ext>
                    </c:extLst>
                    <c:strCache>
                      <c:ptCount val="9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oddechowego</c:v>
                      </c:pt>
                      <c:pt idx="4">
                        <c:v>Nowotwory układu 
endokrynnego</c:v>
                      </c:pt>
                      <c:pt idx="5">
                        <c:v>Nowotwory skóry</c:v>
                      </c:pt>
                      <c:pt idx="6">
                        <c:v>Nowotwory nerki</c:v>
                      </c:pt>
                      <c:pt idx="7">
                        <c:v>Nowotwory 
ginekologiczne</c:v>
                      </c:pt>
                      <c:pt idx="8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('onko_2012_-_2024'!$N$3:$N$9,'onko_2012_-_2024'!$N$11:$N$12)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8E48-4E84-8902-D4B88192092F}"/>
                  </c:ext>
                </c:extLst>
              </c15:ser>
            </c15:filteredBarSeries>
          </c:ext>
        </c:extLst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900" b="1">
                <a:latin typeface="Lato" panose="020F0502020204030203" pitchFamily="34" charset="-18"/>
              </a:rPr>
              <a:t>Cząsteczko-wskazania nieonkologiczne w 2023 r.</a:t>
            </a:r>
          </a:p>
        </c:rich>
      </c:tx>
      <c:layout>
        <c:manualLayout>
          <c:xMode val="edge"/>
          <c:yMode val="edge"/>
          <c:x val="0.22068563092633112"/>
          <c:y val="8.628127696289905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4738821003380143"/>
          <c:y val="9.2432584605147541E-2"/>
          <c:w val="0.71971644292647063"/>
          <c:h val="0.83665350065261346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'nieonko_2012_-_2024'!$C$2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('nieonko_2012_-_2024'!$A$3:$A$11,'nieonko_2012_-_2024'!$A$13,'nieonko_2012_-_2024'!$A$15:$A$21)</c:f>
              <c:strCache>
                <c:ptCount val="17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Hematologia</c:v>
                </c:pt>
                <c:pt idx="10">
                  <c:v>Gastroenterologia</c:v>
                </c:pt>
                <c:pt idx="11">
                  <c:v>Endokrynologia</c:v>
                </c:pt>
                <c:pt idx="12">
                  <c:v>Diabetologia</c:v>
                </c:pt>
                <c:pt idx="13">
                  <c:v>Dermatologia</c:v>
                </c:pt>
                <c:pt idx="14">
                  <c:v>Choroby metaboliczne</c:v>
                </c:pt>
                <c:pt idx="15">
                  <c:v>Angiologia</c:v>
                </c:pt>
                <c:pt idx="16">
                  <c:v>Alergologia</c:v>
                </c:pt>
              </c:strCache>
              <c:extLst/>
            </c:strRef>
          </c:cat>
          <c:val>
            <c:numRef>
              <c:f>('nieonko_2012_-_2024'!$C$3:$C$11,'nieonko_2012_-_2024'!$C$13,'nieonko_2012_-_2024'!$C$15:$C$21)</c:f>
              <c:numCache>
                <c:formatCode>General</c:formatCode>
                <c:ptCount val="17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20</c:v>
                </c:pt>
                <c:pt idx="8">
                  <c:v>3</c:v>
                </c:pt>
                <c:pt idx="9">
                  <c:v>7</c:v>
                </c:pt>
                <c:pt idx="10">
                  <c:v>4</c:v>
                </c:pt>
                <c:pt idx="11">
                  <c:v>1</c:v>
                </c:pt>
                <c:pt idx="12">
                  <c:v>6</c:v>
                </c:pt>
                <c:pt idx="13">
                  <c:v>6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D83-4305-9903-4DF248ABF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'nieonko_2012_-_2024'!$B$2</c15:sqref>
                        </c15:formulaRef>
                      </c:ext>
                    </c:extLst>
                    <c:strCache>
                      <c:ptCount val="1"/>
                      <c:pt idx="0">
                        <c:v>2024
(stan na styczeń)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('nieonko_2012_-_2024'!$B$3:$B$11,'nieonko_2012_-_2024'!$B$13,'nieonko_2012_-_2024'!$B$15:$B$21)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1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D83-4305-9903-4DF248ABF22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'nieonko_2012_-_2024'!$D$2</c15:sqref>
                        </c15:formulaRef>
                      </c:ext>
                    </c:extLst>
                    <c:strCache>
                      <c:ptCount val="1"/>
                      <c:pt idx="0">
                        <c:v>2022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('nieonko_2012_-_2024'!$D$3:$D$11,'nieonko_2012_-_2024'!$D$13,'nieonko_2012_-_2024'!$D$15:$D$21)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9</c:v>
                      </c:pt>
                      <c:pt idx="2">
                        <c:v>11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18</c:v>
                      </c:pt>
                      <c:pt idx="6">
                        <c:v>1</c:v>
                      </c:pt>
                      <c:pt idx="7">
                        <c:v>4</c:v>
                      </c:pt>
                      <c:pt idx="8">
                        <c:v>2</c:v>
                      </c:pt>
                      <c:pt idx="9">
                        <c:v>3</c:v>
                      </c:pt>
                      <c:pt idx="10">
                        <c:v>7</c:v>
                      </c:pt>
                      <c:pt idx="11">
                        <c:v>0</c:v>
                      </c:pt>
                      <c:pt idx="12">
                        <c:v>9</c:v>
                      </c:pt>
                      <c:pt idx="13">
                        <c:v>5</c:v>
                      </c:pt>
                      <c:pt idx="14">
                        <c:v>4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D83-4305-9903-4DF248ABF22A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'nieonko_2012_-_2024'!$E$2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('nieonko_2012_-_2024'!$E$3:$E$11,'nieonko_2012_-_2024'!$E$13,'nieonko_2012_-_2024'!$E$15:$E$21)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7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2</c:v>
                      </c:pt>
                      <c:pt idx="9">
                        <c:v>6</c:v>
                      </c:pt>
                      <c:pt idx="10">
                        <c:v>2</c:v>
                      </c:pt>
                      <c:pt idx="11">
                        <c:v>1</c:v>
                      </c:pt>
                      <c:pt idx="12">
                        <c:v>1</c:v>
                      </c:pt>
                      <c:pt idx="13">
                        <c:v>3</c:v>
                      </c:pt>
                      <c:pt idx="14">
                        <c:v>2</c:v>
                      </c:pt>
                      <c:pt idx="15">
                        <c:v>1</c:v>
                      </c:pt>
                      <c:pt idx="1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D83-4305-9903-4DF248ABF22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'nieonko_2012_-_2024'!$F$2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('nieonko_2012_-_2024'!$F$3:$F$11,'nieonko_2012_-_2024'!$F$13,'nieonko_2012_-_2024'!$F$15:$F$21)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4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3</c:v>
                      </c:pt>
                      <c:pt idx="10">
                        <c:v>2</c:v>
                      </c:pt>
                      <c:pt idx="11">
                        <c:v>2</c:v>
                      </c:pt>
                      <c:pt idx="12">
                        <c:v>3</c:v>
                      </c:pt>
                      <c:pt idx="13">
                        <c:v>3</c:v>
                      </c:pt>
                      <c:pt idx="14">
                        <c:v>2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D83-4305-9903-4DF248ABF22A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'nieonko_2012_-_2024'!$G$2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('nieonko_2012_-_2024'!$G$3:$G$11,'nieonko_2012_-_2024'!$G$13,'nieonko_2012_-_2024'!$G$15:$G$21)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3</c:v>
                      </c:pt>
                      <c:pt idx="2">
                        <c:v>3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3</c:v>
                      </c:pt>
                      <c:pt idx="6">
                        <c:v>0</c:v>
                      </c:pt>
                      <c:pt idx="7">
                        <c:v>3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3</c:v>
                      </c:pt>
                      <c:pt idx="11">
                        <c:v>0</c:v>
                      </c:pt>
                      <c:pt idx="12">
                        <c:v>5</c:v>
                      </c:pt>
                      <c:pt idx="13">
                        <c:v>1</c:v>
                      </c:pt>
                      <c:pt idx="14">
                        <c:v>2</c:v>
                      </c:pt>
                      <c:pt idx="15">
                        <c:v>0</c:v>
                      </c:pt>
                      <c:pt idx="1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D83-4305-9903-4DF248ABF22A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'nieonko_2012_-_2024'!$H$2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('nieonko_2012_-_2024'!$H$3:$H$11,'nieonko_2012_-_2024'!$H$13,'nieonko_2012_-_2024'!$H$15:$H$21)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4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3</c:v>
                      </c:pt>
                      <c:pt idx="9">
                        <c:v>4</c:v>
                      </c:pt>
                      <c:pt idx="10">
                        <c:v>1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3</c:v>
                      </c:pt>
                      <c:pt idx="14">
                        <c:v>0</c:v>
                      </c:pt>
                      <c:pt idx="15">
                        <c:v>2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D83-4305-9903-4DF248ABF22A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'nieonko_2012_-_2024'!$I$2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('nieonko_2012_-_2024'!$I$3:$I$11,'nieonko_2012_-_2024'!$I$13,'nieonko_2012_-_2024'!$I$15:$I$21)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2</c:v>
                      </c:pt>
                      <c:pt idx="2">
                        <c:v>5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3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2</c:v>
                      </c:pt>
                      <c:pt idx="10">
                        <c:v>2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D83-4305-9903-4DF248ABF22A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'nieonko_2012_-_2024'!$J$2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('nieonko_2012_-_2024'!$J$3:$J$11,'nieonko_2012_-_2024'!$J$13,'nieonko_2012_-_2024'!$J$15:$J$21)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3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1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1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D83-4305-9903-4DF248ABF22A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'nieonko_2012_-_2024'!$K$2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('nieonko_2012_-_2024'!$K$3:$K$11,'nieonko_2012_-_2024'!$K$13,'nieonko_2012_-_2024'!$K$15:$K$21)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5</c:v>
                      </c:pt>
                      <c:pt idx="8">
                        <c:v>2</c:v>
                      </c:pt>
                      <c:pt idx="9">
                        <c:v>1</c:v>
                      </c:pt>
                      <c:pt idx="10">
                        <c:v>1</c:v>
                      </c:pt>
                      <c:pt idx="11">
                        <c:v>3</c:v>
                      </c:pt>
                      <c:pt idx="12">
                        <c:v>0</c:v>
                      </c:pt>
                      <c:pt idx="13">
                        <c:v>1</c:v>
                      </c:pt>
                      <c:pt idx="14">
                        <c:v>1</c:v>
                      </c:pt>
                      <c:pt idx="15">
                        <c:v>3</c:v>
                      </c:pt>
                      <c:pt idx="1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D83-4305-9903-4DF248ABF22A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'nieonko_2012_-_2024'!$L$2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('nieonko_2012_-_2024'!$L$3:$L$11,'nieonko_2012_-_2024'!$L$13,'nieonko_2012_-_2024'!$L$15:$L$21)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4</c:v>
                      </c:pt>
                      <c:pt idx="2">
                        <c:v>3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6</c:v>
                      </c:pt>
                      <c:pt idx="6">
                        <c:v>0</c:v>
                      </c:pt>
                      <c:pt idx="7">
                        <c:v>3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1</c:v>
                      </c:pt>
                      <c:pt idx="14">
                        <c:v>2</c:v>
                      </c:pt>
                      <c:pt idx="15">
                        <c:v>3</c:v>
                      </c:pt>
                      <c:pt idx="1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D83-4305-9903-4DF248ABF22A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'nieonko_2012_-_2024'!$M$2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('nieonko_2012_-_2024'!$M$3:$M$11,'nieonko_2012_-_2024'!$M$13,'nieonko_2012_-_2024'!$M$15:$M$21)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7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1</c:v>
                      </c:pt>
                      <c:pt idx="11">
                        <c:v>0</c:v>
                      </c:pt>
                      <c:pt idx="12">
                        <c:v>3</c:v>
                      </c:pt>
                      <c:pt idx="13">
                        <c:v>2</c:v>
                      </c:pt>
                      <c:pt idx="14">
                        <c:v>0</c:v>
                      </c:pt>
                      <c:pt idx="15">
                        <c:v>1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4D83-4305-9903-4DF248ABF22A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'nieonko_2012_-_2024'!$N$2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('nieonko_2012_-_2024'!$A$3:$A$11,'nieonko_2012_-_2024'!$A$13,'nieonko_2012_-_2024'!$A$15:$A$21)</c15:sqref>
                        </c15:formulaRef>
                      </c:ext>
                    </c:extLst>
                    <c:strCache>
                      <c:ptCount val="17"/>
                      <c:pt idx="0">
                        <c:v>Urologia</c:v>
                      </c:pt>
                      <c:pt idx="1">
                        <c:v>Reumatologia</c:v>
                      </c:pt>
                      <c:pt idx="2">
                        <c:v>Pulmonologia</c:v>
                      </c:pt>
                      <c:pt idx="3">
                        <c:v>Psychiatria</c:v>
                      </c:pt>
                      <c:pt idx="4">
                        <c:v>Okulistyka</c:v>
                      </c:pt>
                      <c:pt idx="5">
                        <c:v>Neurologia</c:v>
                      </c:pt>
                      <c:pt idx="6">
                        <c:v>Nefrologia </c:v>
                      </c:pt>
                      <c:pt idx="7">
                        <c:v>Kardiologia</c:v>
                      </c:pt>
                      <c:pt idx="8">
                        <c:v>Immunologia</c:v>
                      </c:pt>
                      <c:pt idx="9">
                        <c:v>Hematologia</c:v>
                      </c:pt>
                      <c:pt idx="10">
                        <c:v>Gastroenterologia</c:v>
                      </c:pt>
                      <c:pt idx="11">
                        <c:v>Endokrynologia</c:v>
                      </c:pt>
                      <c:pt idx="12">
                        <c:v>Diabetologia</c:v>
                      </c:pt>
                      <c:pt idx="13">
                        <c:v>Dermatologia</c:v>
                      </c:pt>
                      <c:pt idx="14">
                        <c:v>Choroby metaboliczne</c:v>
                      </c:pt>
                      <c:pt idx="15">
                        <c:v>Angiologia</c:v>
                      </c:pt>
                      <c:pt idx="16">
                        <c:v>Alergologia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('nieonko_2012_-_2024'!$N$3:$N$11,'nieonko_2012_-_2024'!$N$13,'nieonko_2012_-_2024'!$N$15:$N$21)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2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2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1</c:v>
                      </c:pt>
                      <c:pt idx="15">
                        <c:v>0</c:v>
                      </c:pt>
                      <c:pt idx="1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4D83-4305-9903-4DF248ABF22A}"/>
                  </c:ext>
                </c:extLst>
              </c15:ser>
            </c15:filteredBarSeries>
          </c:ext>
        </c:extLst>
      </c:barChart>
      <c:valAx>
        <c:axId val="241294831"/>
        <c:scaling>
          <c:orientation val="minMax"/>
          <c:max val="2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2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38</Pages>
  <Words>11057</Words>
  <Characters>66343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Aleksandra</dc:creator>
  <cp:keywords/>
  <dc:description/>
  <cp:lastModifiedBy>Tobiaszewski Paweł</cp:lastModifiedBy>
  <cp:revision>29</cp:revision>
  <dcterms:created xsi:type="dcterms:W3CDTF">2022-12-21T09:10:00Z</dcterms:created>
  <dcterms:modified xsi:type="dcterms:W3CDTF">2023-12-11T09:37:00Z</dcterms:modified>
</cp:coreProperties>
</file>