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MSS-DN-ZPP-26</w:t>
      </w:r>
      <w:r>
        <w:rPr>
          <w:rFonts w:cs="Tahoma" w:ascii="Tahoma" w:hAnsi="Tahoma"/>
          <w:b/>
          <w:shd w:fill="auto" w:val="clear"/>
        </w:rPr>
        <w:t>-</w:t>
      </w:r>
      <w:r>
        <w:rPr>
          <w:rFonts w:cs="Tahoma" w:ascii="Tahoma" w:hAnsi="Tahoma"/>
          <w:b/>
          <w:shd w:fill="auto" w:val="clear"/>
        </w:rPr>
        <w:t>ZO-10</w:t>
      </w:r>
      <w:r>
        <w:rPr>
          <w:rFonts w:cs="Tahoma" w:ascii="Tahoma" w:hAnsi="Tahoma"/>
          <w:b/>
          <w:shd w:fill="auto" w:val="clear"/>
        </w:rPr>
        <w:t>/</w:t>
      </w:r>
      <w:r>
        <w:rPr>
          <w:rFonts w:cs="Tahoma" w:ascii="Tahoma" w:hAnsi="Tahoma"/>
          <w:b/>
          <w:shd w:fill="auto" w:val="clear"/>
        </w:rPr>
        <w:t>20</w:t>
      </w:r>
      <w:r>
        <w:rPr>
          <w:rFonts w:cs="Tahoma" w:ascii="Tahoma" w:hAnsi="Tahoma"/>
          <w:b/>
          <w:shd w:fill="auto" w:val="clear"/>
        </w:rPr>
        <w:t>23</w:t>
      </w:r>
      <w:r>
        <w:rPr>
          <w:rFonts w:cs="Tahoma" w:ascii="Tahoma" w:hAnsi="Tahoma"/>
          <w:b/>
        </w:rPr>
        <w:tab/>
        <w:tab/>
        <w:tab/>
        <w:tab/>
        <w:tab/>
        <w:tab/>
        <w:tab/>
        <w:tab/>
        <w:tab/>
        <w:t>Załącznik nr 2 do ZO i umowy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Zestawienie warunków, parametrów granicznych</w:t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Poz. 1 Zestaw logopedyczny – 1 zestaw</w:t>
      </w:r>
    </w:p>
    <w:tbl>
      <w:tblPr>
        <w:tblStyle w:val="Tabela-Siatka1"/>
        <w:tblW w:w="1360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5528"/>
        <w:gridCol w:w="2410"/>
        <w:gridCol w:w="2268"/>
        <w:gridCol w:w="2694"/>
      </w:tblGrid>
      <w:tr>
        <w:trPr/>
        <w:tc>
          <w:tcPr>
            <w:tcW w:w="70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L.p.</w:t>
            </w:r>
          </w:p>
        </w:tc>
        <w:tc>
          <w:tcPr>
            <w:tcW w:w="552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PARAMETR/WARUNEK</w:t>
            </w:r>
          </w:p>
        </w:tc>
        <w:tc>
          <w:tcPr>
            <w:tcW w:w="2410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WARTOŚĆ WYMAGANA</w:t>
            </w:r>
          </w:p>
        </w:tc>
        <w:tc>
          <w:tcPr>
            <w:tcW w:w="226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WARTOŚĆ OFEROWANEGO PARAMETRU, OPISAĆ</w:t>
            </w:r>
          </w:p>
        </w:tc>
        <w:tc>
          <w:tcPr>
            <w:tcW w:w="2694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UWAGI</w:t>
            </w:r>
          </w:p>
        </w:tc>
      </w:tr>
      <w:tr>
        <w:trPr>
          <w:trHeight w:val="163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Nazwa produktu, producent, kraj pochodzenia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Urządzenie fabrycznie nowe, nieużywane do prezentacji, rok produkcji min 2022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Zestaw dydaktyczny - 2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4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Zestaw przeznaczony do pracy dla logopedów i terapeutów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5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Zestaw składający się z poradnika, materiałów obrazkowych, gier językowych, kombinacje ćwiczeń językowych i etykiet z podpisami do poszczególnych obrazków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6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Gry pomagające rozwijać pojęcia językowe u dzieci w wieku przedszkolnym i szkolnym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7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Zestaw wykorzystywany jako pomoc diagnostyczna oraz jako pomoc do tworzenia indywidualnych programów terapii dla dzieci z trudnościami w porozumiewaniu się.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8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Pomoc dydaktyczna w formie historyjek obrazkowych z tekstami – 2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9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 xml:space="preserve">Pomoc dydaktyczna mająca na celu umiejętności budowania zdań poprawnych gramatycznie 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10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dydaktyczna skierowana do dzieci z niezakończonym rozwojem mowy, opóźnionym rozwojem mowy, afazją, autyzmem, zespołem Aspargera, dysleksją, dzieci niesłyszących, z implantem ślimakowym, ze specyficznymi problemami w uczeniu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11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Zestaw składający się z min. 5 historyjek. Do każdego obraza przyporządkowane są 4 teksty.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12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Seria zeszytów ćwiczeń związanych z afazją motoryczno-eferentną – 2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13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Produkt skierowany do pacjentów dorosłych  z afazją motoryczno-eferentną np. po udarach, urazach czaszkowo mózgowych , pacjentach chorych na Alzheimera i innych chorobach degeneracyjnych mózgu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14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dydaktyczna składająca się z zeszytów ćwiczeń z zadaniami tworzących kompletną całość serii.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15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Zadania wzbogacające zasób słownictwa, usprawniające pamięć, koncentrację i odbudowujące utracone funkcje poznawcze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16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Zeszyty ćwiczeń zawierające materiał pozwalający pacjentowi na opanowanie ciągów zautomatyzowanych oraz czasowników. Zapoznające pacjenta z czasami, trybami i rodzajami występującymi w języku polskim. Pomagające upłynnić artykulację i zlikwidować agramatyzmy w mowie i piśmie. Uczące budowy zdań i tworzenia samodzielnych wypowiedzi.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17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Pomoce do rehabilitacji afazji – 2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18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dydaktyczna skierowana do logopedów i terapeutów do pracy z osobami dorosłymi z afazją.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19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dydaktyczna zawiera dodatkowo ok. 370 wyrazów i ilustracji  przedstawiających rzeczowniki z codziennego słownictwa. Wyrazy pogrupowane tematycznie, a grupy wyróżniono kolorami.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20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Praca z kartami logopedycznymi możliwa na wiele sposobów dająca możliwość prowadzenia ćwiczeń w różny sposób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21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Ćwiczenia słuchu fonemowego – 2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22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 xml:space="preserve">Pomoc dydaktyczna przeznaczona dla dzieci w wieku 4-9 lat 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23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dydaktyczna wykorzystywana przez logopedów, terapeutów, pedagogów i psychologów.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Produkt skierowany dla dzieci z trudnościami artykulacyjnymi, niezakończonym, opóźnionym rozwojem mowy, ryzykiem dysleksji, dysleksją.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25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wykorzystywana również do pracy z dziećmi dwujęzycznymi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26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 xml:space="preserve">W skład zestawu wchodzą: 3 plansze z mini schematami artykulacyjnymi do różnicowania głosek syczących i szumiących, ok. 216 obrazków i podpisów do układania na planszach oraz 48 obrazków i podpisów do ćwiczeń na różnicowanie par wyrazów. 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27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instrukcja obsługi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28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Pomoc dydaktyczna do terapii apraksji mowy – 2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29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Pomoc dydaktyczna dla logopedów i neurologopedów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30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 xml:space="preserve">Zestaw sylabowo-wyrazowy do terapii logopedycznej osób dorosłych z apraksją mowy 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31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Zestaw polecany głównie do pacjentów z uszkodzeniem mózgu, powodującym trudności z artykulacją na różnych poziomach- głosek, sylab, wyrazów, zdań.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32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Zestaw umożliwiający prowadzenie terapii dwiema metodami. Pierwsza polega na ćwiczeniu aparatu artykulacyjnego, a następnie powtarzanie izolowanych dźwięków mowy – od sylab i wyrazów do prostych zdań. Druga metoda polega na wywoływaniu wypowiedzi automatycznych w przypadku kiedy wyróżnienie  głoski jest dla pacjenta trudniejsze niż podanie wyrazu w całości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33</w:t>
            </w:r>
          </w:p>
        </w:tc>
        <w:tc>
          <w:tcPr>
            <w:tcW w:w="1290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bidi="ar-SA"/>
              </w:rPr>
              <w:t>Program komputerowy przeznaczony do pracy dla logopedów i terapeutów – 1 szt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34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 xml:space="preserve">Pakiet min 5 programów logopedycznych multimedialnych wpierających profilaktykę, diagnozę oraz terapię większości zaburzeń mowy i języka występujących u dzieci w wieku przedszkolnym i wczesnoszkolnym. 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35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Pięć programów logopedycznych multimedialnych na pendrive : szereg szumiący, szereg syczący, szereg ciszący, różnicowanie szeregów, głoska „r”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36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aplikacja logopedy, moduł badania mowy i przewodnik metodyczny.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37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Min 1000 interaktywnych ćwiczeń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38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Min 200 kart pracy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39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Mikrofon profesjonalny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40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Licencja na min 2 urządzenia (licencja wieczysta)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>
        <w:rPr>
          <w:rFonts w:eastAsia="Batang" w:cs="Tahoma" w:ascii="Tahoma" w:hAnsi="Tahoma"/>
          <w:b/>
          <w:bCs/>
          <w:sz w:val="18"/>
          <w:szCs w:val="18"/>
        </w:rPr>
        <w:t xml:space="preserve"> W kolumnie „Wartość oferowanego parametru” Wykonawca musi </w:t>
      </w:r>
      <w:r>
        <w:rPr>
          <w:rFonts w:eastAsia="Batang" w:cs="Tahoma" w:ascii="Tahoma" w:hAnsi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3145477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7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9e23ad"/>
    <w:pPr>
      <w:suppressAutoHyphens w:val="true"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07d2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c07d2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c07d2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ca43c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e23ad"/>
    <w:rPr>
      <w:rFonts w:ascii="Calibri" w:hAnsi="Calibri" w:eastAsia="Times New Roman" w:cs="Calibri"/>
      <w:b/>
      <w:sz w:val="18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76028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76028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13" w:customStyle="1">
    <w:name w:val="Font Style13"/>
    <w:qFormat/>
    <w:rsid w:val="00ea6795"/>
    <w:rPr>
      <w:rFonts w:ascii="Times New Roman" w:hAnsi="Times New Roman"/>
      <w:color w:val="000000"/>
      <w:sz w:val="18"/>
    </w:rPr>
  </w:style>
  <w:style w:type="character" w:styleId="FontStyle12" w:customStyle="1">
    <w:name w:val="Font Style12"/>
    <w:qFormat/>
    <w:rsid w:val="00ea6795"/>
    <w:rPr>
      <w:rFonts w:ascii="Times New Roman" w:hAnsi="Times New Roman"/>
      <w:b/>
      <w:color w:val="000000"/>
      <w:sz w:val="18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e575a"/>
    <w:rPr>
      <w:rFonts w:ascii="Segoe UI" w:hAnsi="Segoe UI" w:eastAsia="Times New Roman" w:cs="Segoe UI"/>
      <w:sz w:val="18"/>
      <w:szCs w:val="18"/>
      <w:lang w:eastAsia="pl-PL"/>
    </w:rPr>
  </w:style>
  <w:style w:type="character" w:styleId="AkapitzlistZnak" w:customStyle="1">
    <w:name w:val="Akapit z listą Znak"/>
    <w:link w:val="ListParagraph"/>
    <w:qFormat/>
    <w:locked/>
    <w:rsid w:val="00873385"/>
    <w:rPr/>
  </w:style>
  <w:style w:type="character" w:styleId="Czeinternetowe">
    <w:name w:val="Łącze internetowe"/>
    <w:basedOn w:val="DefaultParagraphFont"/>
    <w:uiPriority w:val="99"/>
    <w:unhideWhenUsed/>
    <w:rsid w:val="002e4ed2"/>
    <w:rPr>
      <w:color w:val="0563C1" w:themeColor="hyperlink"/>
      <w:u w:val="single"/>
    </w:rPr>
  </w:style>
  <w:style w:type="character" w:styleId="TekstkomentarzaZnak" w:customStyle="1">
    <w:name w:val="Tekst komentarza Znak"/>
    <w:basedOn w:val="DefaultParagraphFont"/>
    <w:link w:val="Annotationtext"/>
    <w:qFormat/>
    <w:rsid w:val="00d5508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6f90"/>
    <w:rPr>
      <w:sz w:val="16"/>
      <w:szCs w:val="16"/>
    </w:rPr>
  </w:style>
  <w:style w:type="character" w:styleId="Nagwek5Znak" w:customStyle="1">
    <w:name w:val="Nagłówek 5 Znak"/>
    <w:basedOn w:val="DefaultParagraphFont"/>
    <w:uiPriority w:val="9"/>
    <w:semiHidden/>
    <w:qFormat/>
    <w:rsid w:val="00ca43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c07d2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c07d2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uiPriority w:val="9"/>
    <w:qFormat/>
    <w:rsid w:val="00c07d2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pl-PL"/>
    </w:rPr>
  </w:style>
  <w:style w:type="character" w:styleId="TytuZnak" w:customStyle="1">
    <w:name w:val="Tytuł Znak"/>
    <w:basedOn w:val="DefaultParagraphFont"/>
    <w:uiPriority w:val="10"/>
    <w:qFormat/>
    <w:rsid w:val="00c07d2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a32723"/>
    <w:pPr>
      <w:spacing w:beforeAutospacing="1" w:after="119"/>
    </w:pPr>
    <w:rPr>
      <w:rFonts w:eastAsia="Calibri"/>
    </w:rPr>
  </w:style>
  <w:style w:type="paragraph" w:styleId="ListParagraph">
    <w:name w:val="List Paragraph"/>
    <w:basedOn w:val="Normal"/>
    <w:link w:val="AkapitzlistZnak"/>
    <w:qFormat/>
    <w:rsid w:val="00860a7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02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602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rsid w:val="00ea6795"/>
    <w:pPr>
      <w:widowControl w:val="false"/>
      <w:spacing w:lineRule="exact" w:line="235"/>
    </w:pPr>
    <w:rPr/>
  </w:style>
  <w:style w:type="paragraph" w:styleId="Style41" w:customStyle="1">
    <w:name w:val="Style4"/>
    <w:basedOn w:val="Normal"/>
    <w:qFormat/>
    <w:rsid w:val="00ea6795"/>
    <w:pPr>
      <w:widowControl w:val="false"/>
      <w:spacing w:lineRule="exact" w:line="23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575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nhideWhenUsed/>
    <w:qFormat/>
    <w:rsid w:val="00d55084"/>
    <w:pPr>
      <w:suppressAutoHyphens w:val="true"/>
    </w:pPr>
    <w:rPr>
      <w:sz w:val="20"/>
      <w:szCs w:val="20"/>
      <w:lang w:eastAsia="zh-CN"/>
    </w:rPr>
  </w:style>
  <w:style w:type="paragraph" w:styleId="Zawartotabeli" w:customStyle="1">
    <w:name w:val="Zawartość tabeli"/>
    <w:basedOn w:val="Normal"/>
    <w:qFormat/>
    <w:rsid w:val="00ca43c5"/>
    <w:pPr>
      <w:widowControl w:val="false"/>
      <w:suppressLineNumbers/>
      <w:suppressAutoHyphens w:val="true"/>
    </w:pPr>
    <w:rPr>
      <w:rFonts w:eastAsia="Lucida Sans Unicode"/>
      <w:kern w:val="2"/>
      <w:lang w:eastAsia="zh-CN"/>
    </w:rPr>
  </w:style>
  <w:style w:type="paragraph" w:styleId="NoSpacing">
    <w:name w:val="No Spacing"/>
    <w:uiPriority w:val="1"/>
    <w:qFormat/>
    <w:rsid w:val="00c07d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c07d25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860a72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Application>LibreOffice/7.3.4.2$Windows_X86_64 LibreOffice_project/728fec16bd5f605073805c3c9e7c4212a0120dc5</Application>
  <AppVersion>15.0000</AppVersion>
  <Pages>3</Pages>
  <Words>688</Words>
  <Characters>4383</Characters>
  <CharactersWithSpaces>4972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2022-06-23T12:52:00Z</dcterms:created>
  <dc:creator>Anna Grajdziadek</dc:creator>
  <dc:description/>
  <dc:language>pl-PL</dc:language>
  <cp:lastModifiedBy/>
  <cp:lastPrinted>2023-03-09T13:39:00Z</cp:lastPrinted>
  <dcterms:modified xsi:type="dcterms:W3CDTF">2023-04-25T20:39:13Z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